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658ABF" w14:textId="77777777" w:rsidR="00E70C65" w:rsidRDefault="00E70C65" w:rsidP="00E70C65">
      <w:pPr>
        <w:tabs>
          <w:tab w:val="left" w:pos="5245"/>
        </w:tabs>
        <w:jc w:val="center"/>
      </w:pPr>
      <w:r>
        <w:rPr>
          <w:noProof/>
          <w:lang w:eastAsia="en-GB"/>
        </w:rPr>
        <w:drawing>
          <wp:inline distT="0" distB="0" distL="0" distR="0" wp14:anchorId="74E47691" wp14:editId="777A8B91">
            <wp:extent cx="1799590" cy="12287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99590" cy="1228725"/>
                    </a:xfrm>
                    <a:prstGeom prst="rect">
                      <a:avLst/>
                    </a:prstGeom>
                    <a:noFill/>
                    <a:ln>
                      <a:noFill/>
                    </a:ln>
                  </pic:spPr>
                </pic:pic>
              </a:graphicData>
            </a:graphic>
          </wp:inline>
        </w:drawing>
      </w:r>
    </w:p>
    <w:p w14:paraId="6C88AC28" w14:textId="509EDA2A" w:rsidR="00E70C65" w:rsidRDefault="00E70C65" w:rsidP="00E70C65">
      <w:pPr>
        <w:tabs>
          <w:tab w:val="left" w:pos="1480"/>
        </w:tabs>
        <w:jc w:val="right"/>
        <w:rPr>
          <w:szCs w:val="24"/>
        </w:rPr>
      </w:pPr>
      <w:r>
        <w:rPr>
          <w:sz w:val="20"/>
          <w:szCs w:val="20"/>
        </w:rPr>
        <w:br/>
      </w:r>
      <w:r w:rsidR="00C80646">
        <w:rPr>
          <w:rFonts w:ascii="Verdana" w:hAnsi="Verdana"/>
          <w:sz w:val="20"/>
          <w:szCs w:val="20"/>
        </w:rPr>
        <w:t xml:space="preserve">      </w:t>
      </w:r>
      <w:r w:rsidR="004B10ED">
        <w:rPr>
          <w:rFonts w:ascii="Verdana" w:hAnsi="Verdana"/>
          <w:sz w:val="20"/>
          <w:szCs w:val="20"/>
        </w:rPr>
        <w:t xml:space="preserve">    </w:t>
      </w:r>
      <w:r w:rsidR="004B10ED">
        <w:rPr>
          <w:rFonts w:ascii="Verdana" w:hAnsi="Verdana"/>
          <w:sz w:val="20"/>
          <w:szCs w:val="20"/>
        </w:rPr>
        <w:tab/>
      </w:r>
      <w:r w:rsidR="004B10ED">
        <w:rPr>
          <w:rFonts w:ascii="Verdana" w:hAnsi="Verdana"/>
          <w:sz w:val="20"/>
          <w:szCs w:val="20"/>
        </w:rPr>
        <w:tab/>
      </w:r>
      <w:r w:rsidR="00ED2F76">
        <w:rPr>
          <w:rFonts w:ascii="Verdana" w:hAnsi="Verdana"/>
          <w:sz w:val="20"/>
          <w:szCs w:val="20"/>
        </w:rPr>
        <w:t xml:space="preserve">    </w:t>
      </w:r>
      <w:r w:rsidRPr="000D703C">
        <w:rPr>
          <w:rFonts w:ascii="Verdana" w:hAnsi="Verdana"/>
          <w:sz w:val="20"/>
          <w:szCs w:val="20"/>
        </w:rPr>
        <w:t>EIOPA-</w:t>
      </w:r>
      <w:sdt>
        <w:sdtPr>
          <w:rPr>
            <w:rFonts w:ascii="Verdana" w:hAnsi="Verdana"/>
            <w:sz w:val="20"/>
            <w:szCs w:val="20"/>
          </w:rPr>
          <w:id w:val="-1605414361"/>
        </w:sdtPr>
        <w:sdtEndPr/>
        <w:sdtContent>
          <w:r w:rsidR="000D703C" w:rsidRPr="000D703C">
            <w:rPr>
              <w:rFonts w:ascii="Verdana" w:hAnsi="Verdana"/>
              <w:sz w:val="20"/>
              <w:szCs w:val="20"/>
            </w:rPr>
            <w:t>2</w:t>
          </w:r>
          <w:r w:rsidR="001A454B">
            <w:rPr>
              <w:rFonts w:ascii="Verdana" w:hAnsi="Verdana"/>
              <w:sz w:val="20"/>
              <w:szCs w:val="20"/>
            </w:rPr>
            <w:t>2</w:t>
          </w:r>
          <w:r w:rsidR="000D703C" w:rsidRPr="000D703C">
            <w:rPr>
              <w:rFonts w:ascii="Verdana" w:hAnsi="Verdana"/>
              <w:sz w:val="20"/>
              <w:szCs w:val="20"/>
            </w:rPr>
            <w:t>/</w:t>
          </w:r>
          <w:r w:rsidR="001A454B">
            <w:rPr>
              <w:rFonts w:ascii="Verdana" w:hAnsi="Verdana"/>
              <w:sz w:val="20"/>
              <w:szCs w:val="20"/>
            </w:rPr>
            <w:t>189</w:t>
          </w:r>
        </w:sdtContent>
      </w:sdt>
      <w:r w:rsidRPr="000D703C">
        <w:rPr>
          <w:rFonts w:ascii="Verdana" w:hAnsi="Verdana"/>
          <w:sz w:val="20"/>
          <w:szCs w:val="20"/>
        </w:rPr>
        <w:br/>
      </w:r>
      <w:sdt>
        <w:sdtPr>
          <w:rPr>
            <w:rFonts w:ascii="Verdana" w:hAnsi="Verdana"/>
            <w:sz w:val="20"/>
            <w:szCs w:val="20"/>
          </w:rPr>
          <w:id w:val="-113525082"/>
        </w:sdtPr>
        <w:sdtEndPr/>
        <w:sdtContent>
          <w:sdt>
            <w:sdtPr>
              <w:rPr>
                <w:sz w:val="20"/>
                <w:szCs w:val="20"/>
              </w:rPr>
              <w:id w:val="276770184"/>
            </w:sdtPr>
            <w:sdtEndPr/>
            <w:sdtContent>
              <w:sdt>
                <w:sdtPr>
                  <w:rPr>
                    <w:rFonts w:ascii="Verdana" w:hAnsi="Verdana"/>
                    <w:sz w:val="20"/>
                    <w:szCs w:val="20"/>
                  </w:rPr>
                  <w:id w:val="142479257"/>
                </w:sdtPr>
                <w:sdtEndPr/>
                <w:sdtContent>
                  <w:r w:rsidR="004805FD">
                    <w:rPr>
                      <w:rFonts w:ascii="Verdana" w:hAnsi="Verdana"/>
                      <w:sz w:val="20"/>
                      <w:szCs w:val="20"/>
                    </w:rPr>
                    <w:t>18</w:t>
                  </w:r>
                  <w:r w:rsidR="001A454B">
                    <w:rPr>
                      <w:rFonts w:ascii="Verdana" w:hAnsi="Verdana"/>
                      <w:sz w:val="20"/>
                      <w:szCs w:val="20"/>
                    </w:rPr>
                    <w:t xml:space="preserve"> </w:t>
                  </w:r>
                  <w:r w:rsidR="00EC0E08">
                    <w:rPr>
                      <w:rFonts w:ascii="Verdana" w:hAnsi="Verdana"/>
                      <w:sz w:val="20"/>
                      <w:szCs w:val="20"/>
                    </w:rPr>
                    <w:t>March</w:t>
                  </w:r>
                  <w:r w:rsidRPr="000D703C">
                    <w:rPr>
                      <w:rFonts w:ascii="Verdana" w:hAnsi="Verdana"/>
                      <w:sz w:val="20"/>
                      <w:szCs w:val="20"/>
                    </w:rPr>
                    <w:t xml:space="preserve"> 202</w:t>
                  </w:r>
                  <w:r w:rsidR="001A454B">
                    <w:rPr>
                      <w:rFonts w:ascii="Verdana" w:hAnsi="Verdana"/>
                      <w:sz w:val="20"/>
                      <w:szCs w:val="20"/>
                    </w:rPr>
                    <w:t>2</w:t>
                  </w:r>
                </w:sdtContent>
              </w:sdt>
            </w:sdtContent>
          </w:sdt>
        </w:sdtContent>
      </w:sdt>
    </w:p>
    <w:p w14:paraId="52417484" w14:textId="77777777" w:rsidR="00E70C65" w:rsidRDefault="00E70C65" w:rsidP="00E70C65">
      <w:pPr>
        <w:jc w:val="center"/>
        <w:rPr>
          <w:color w:val="0563C1" w:themeColor="hyperlink"/>
        </w:rPr>
      </w:pPr>
    </w:p>
    <w:p w14:paraId="341FBAB4" w14:textId="77777777" w:rsidR="00E70C65" w:rsidRDefault="00E70C65" w:rsidP="00E70C65">
      <w:pPr>
        <w:jc w:val="center"/>
        <w:rPr>
          <w:szCs w:val="24"/>
        </w:rPr>
      </w:pPr>
    </w:p>
    <w:p w14:paraId="462633F2" w14:textId="77777777" w:rsidR="000800E7" w:rsidRPr="000800E7" w:rsidRDefault="00E70C65" w:rsidP="000800E7">
      <w:pPr>
        <w:shd w:val="clear" w:color="auto" w:fill="D0E7F6"/>
        <w:spacing w:before="240" w:line="360" w:lineRule="auto"/>
        <w:contextualSpacing/>
        <w:jc w:val="center"/>
        <w:rPr>
          <w:rFonts w:eastAsia="MS Mincho"/>
          <w:b/>
          <w:bCs/>
          <w:sz w:val="40"/>
          <w:szCs w:val="40"/>
          <w:lang w:eastAsia="de-DE"/>
          <w14:shadow w14:blurRad="50800" w14:dist="38100" w14:dir="0" w14:sx="100000" w14:sy="100000" w14:kx="0" w14:ky="0" w14:algn="l">
            <w14:srgbClr w14:val="000000">
              <w14:alpha w14:val="60000"/>
            </w14:srgbClr>
          </w14:shadow>
        </w:rPr>
      </w:pPr>
      <w:r>
        <w:rPr>
          <w:rFonts w:eastAsia="MS Mincho"/>
          <w:b/>
          <w:bCs/>
          <w:sz w:val="40"/>
          <w:szCs w:val="40"/>
          <w:lang w:eastAsia="de-DE"/>
          <w14:shadow w14:blurRad="50800" w14:dist="38100" w14:dir="0" w14:sx="100000" w14:sy="100000" w14:kx="0" w14:ky="0" w14:algn="l">
            <w14:srgbClr w14:val="000000">
              <w14:alpha w14:val="60000"/>
            </w14:srgbClr>
          </w14:shadow>
        </w:rPr>
        <w:t xml:space="preserve">Draft Commission Implementing Regulation (EU) </w:t>
      </w:r>
    </w:p>
    <w:p w14:paraId="45D44607" w14:textId="4F8702A2" w:rsidR="000800E7" w:rsidRPr="000800E7" w:rsidRDefault="000800E7" w:rsidP="000800E7">
      <w:pPr>
        <w:shd w:val="clear" w:color="auto" w:fill="D0E7F6"/>
        <w:spacing w:before="240" w:line="360" w:lineRule="auto"/>
        <w:jc w:val="center"/>
        <w:rPr>
          <w:rFonts w:eastAsia="MS Mincho"/>
          <w:b/>
          <w:bCs/>
          <w:sz w:val="40"/>
          <w:szCs w:val="40"/>
          <w:lang w:eastAsia="de-DE"/>
          <w14:shadow w14:blurRad="50800" w14:dist="38100" w14:dir="0" w14:sx="100000" w14:sy="100000" w14:kx="0" w14:ky="0" w14:algn="l">
            <w14:srgbClr w14:val="000000">
              <w14:alpha w14:val="60000"/>
            </w14:srgbClr>
          </w14:shadow>
        </w:rPr>
      </w:pPr>
      <w:proofErr w:type="gramStart"/>
      <w:r w:rsidRPr="000800E7">
        <w:rPr>
          <w:rFonts w:eastAsia="MS Mincho"/>
          <w:b/>
          <w:bCs/>
          <w:sz w:val="40"/>
          <w:szCs w:val="40"/>
          <w:lang w:eastAsia="de-DE"/>
          <w14:shadow w14:blurRad="50800" w14:dist="38100" w14:dir="0" w14:sx="100000" w14:sy="100000" w14:kx="0" w14:ky="0" w14:algn="l">
            <w14:srgbClr w14:val="000000">
              <w14:alpha w14:val="60000"/>
            </w14:srgbClr>
          </w14:shadow>
        </w:rPr>
        <w:t>xxx/xxx</w:t>
      </w:r>
      <w:proofErr w:type="gramEnd"/>
      <w:r>
        <w:rPr>
          <w:rFonts w:eastAsia="MS Mincho"/>
          <w:b/>
          <w:bCs/>
          <w:sz w:val="40"/>
          <w:szCs w:val="40"/>
          <w:lang w:eastAsia="de-DE"/>
          <w14:shadow w14:blurRad="50800" w14:dist="38100" w14:dir="0" w14:sx="100000" w14:sy="100000" w14:kx="0" w14:ky="0" w14:algn="l">
            <w14:srgbClr w14:val="000000">
              <w14:alpha w14:val="60000"/>
            </w14:srgbClr>
          </w14:shadow>
        </w:rPr>
        <w:t xml:space="preserve"> </w:t>
      </w:r>
      <w:r w:rsidRPr="000800E7">
        <w:rPr>
          <w:rFonts w:eastAsia="MS Mincho"/>
          <w:b/>
          <w:bCs/>
          <w:sz w:val="40"/>
          <w:szCs w:val="40"/>
          <w:lang w:eastAsia="de-DE"/>
          <w14:shadow w14:blurRad="50800" w14:dist="38100" w14:dir="0" w14:sx="100000" w14:sy="100000" w14:kx="0" w14:ky="0" w14:algn="l">
            <w14:srgbClr w14:val="000000">
              <w14:alpha w14:val="60000"/>
            </w14:srgbClr>
          </w14:shadow>
        </w:rPr>
        <w:t xml:space="preserve">of x xxx </w:t>
      </w:r>
      <w:proofErr w:type="spellStart"/>
      <w:r w:rsidRPr="000800E7">
        <w:rPr>
          <w:rFonts w:eastAsia="MS Mincho"/>
          <w:b/>
          <w:bCs/>
          <w:sz w:val="40"/>
          <w:szCs w:val="40"/>
          <w:lang w:eastAsia="de-DE"/>
          <w14:shadow w14:blurRad="50800" w14:dist="38100" w14:dir="0" w14:sx="100000" w14:sy="100000" w14:kx="0" w14:ky="0" w14:algn="l">
            <w14:srgbClr w14:val="000000">
              <w14:alpha w14:val="60000"/>
            </w14:srgbClr>
          </w14:shadow>
        </w:rPr>
        <w:t>xxxx</w:t>
      </w:r>
      <w:proofErr w:type="spellEnd"/>
    </w:p>
    <w:p w14:paraId="7B8F5E6B" w14:textId="77777777" w:rsidR="000800E7" w:rsidRPr="000800E7" w:rsidRDefault="000800E7" w:rsidP="000800E7">
      <w:pPr>
        <w:shd w:val="clear" w:color="auto" w:fill="D0E7F6"/>
        <w:spacing w:before="240" w:line="360" w:lineRule="auto"/>
        <w:jc w:val="center"/>
        <w:rPr>
          <w:rFonts w:eastAsia="MS Mincho"/>
          <w:b/>
          <w:bCs/>
          <w:sz w:val="40"/>
          <w:szCs w:val="40"/>
          <w:lang w:eastAsia="de-DE"/>
          <w14:shadow w14:blurRad="50800" w14:dist="38100" w14:dir="0" w14:sx="100000" w14:sy="100000" w14:kx="0" w14:ky="0" w14:algn="l">
            <w14:srgbClr w14:val="000000">
              <w14:alpha w14:val="60000"/>
            </w14:srgbClr>
          </w14:shadow>
        </w:rPr>
      </w:pPr>
      <w:proofErr w:type="gramStart"/>
      <w:r w:rsidRPr="000800E7">
        <w:rPr>
          <w:rFonts w:eastAsia="MS Mincho"/>
          <w:b/>
          <w:bCs/>
          <w:sz w:val="40"/>
          <w:szCs w:val="40"/>
          <w:lang w:eastAsia="de-DE"/>
          <w14:shadow w14:blurRad="50800" w14:dist="38100" w14:dir="0" w14:sx="100000" w14:sy="100000" w14:kx="0" w14:ky="0" w14:algn="l">
            <w14:srgbClr w14:val="000000">
              <w14:alpha w14:val="60000"/>
            </w14:srgbClr>
          </w14:shadow>
        </w:rPr>
        <w:t>laying</w:t>
      </w:r>
      <w:proofErr w:type="gramEnd"/>
      <w:r w:rsidRPr="000800E7">
        <w:rPr>
          <w:rFonts w:eastAsia="MS Mincho"/>
          <w:b/>
          <w:bCs/>
          <w:sz w:val="40"/>
          <w:szCs w:val="40"/>
          <w:lang w:eastAsia="de-DE"/>
          <w14:shadow w14:blurRad="50800" w14:dist="38100" w14:dir="0" w14:sx="100000" w14:sy="100000" w14:kx="0" w14:ky="0" w14:algn="l">
            <w14:srgbClr w14:val="000000">
              <w14:alpha w14:val="60000"/>
            </w14:srgbClr>
          </w14:shadow>
        </w:rPr>
        <w:t xml:space="preserve"> down implementing technical standards with regard to the templates for the submission of information to the supervisory authorities according to Directive 2009/138/EC of the European Parliament and of the Council and repealing Implementing Regulation (EU) 2015/2450</w:t>
      </w:r>
    </w:p>
    <w:p w14:paraId="404A618F" w14:textId="134FD2AD" w:rsidR="00E70C65" w:rsidRDefault="00E70C65" w:rsidP="00E70C65">
      <w:pPr>
        <w:shd w:val="clear" w:color="auto" w:fill="D0E7F6"/>
        <w:spacing w:before="240" w:line="360" w:lineRule="auto"/>
        <w:jc w:val="center"/>
        <w:rPr>
          <w:rFonts w:eastAsia="MS Mincho" w:cs="Times New Roman"/>
          <w:b/>
          <w:bCs/>
          <w:sz w:val="40"/>
          <w:szCs w:val="40"/>
          <w:lang w:eastAsia="de-DE"/>
          <w14:shadow w14:blurRad="50800" w14:dist="38100" w14:dir="0" w14:sx="100000" w14:sy="100000" w14:kx="0" w14:ky="0" w14:algn="l">
            <w14:srgbClr w14:val="000000">
              <w14:alpha w14:val="60000"/>
            </w14:srgbClr>
          </w14:shadow>
        </w:rPr>
      </w:pPr>
    </w:p>
    <w:p w14:paraId="48BCF3D1" w14:textId="77777777" w:rsidR="00E70C65" w:rsidRDefault="00E70C65" w:rsidP="00E70C65">
      <w:pPr>
        <w:spacing w:after="200" w:line="276" w:lineRule="auto"/>
        <w:rPr>
          <w:rFonts w:eastAsia="Times New Roman"/>
          <w:sz w:val="24"/>
          <w:szCs w:val="24"/>
          <w:lang w:eastAsia="en-GB"/>
        </w:rPr>
      </w:pPr>
      <w:r>
        <w:br w:type="page"/>
      </w:r>
    </w:p>
    <w:p w14:paraId="13E28341" w14:textId="77777777" w:rsidR="00E70C65" w:rsidRDefault="00E70C65" w:rsidP="00E70C65"/>
    <w:p w14:paraId="73D1FE6C" w14:textId="77777777" w:rsidR="00E70C65" w:rsidRDefault="00E70C65" w:rsidP="00E70C65">
      <w:pPr>
        <w:spacing w:after="200" w:line="276" w:lineRule="auto"/>
        <w:rPr>
          <w:b/>
          <w:lang w:eastAsia="de-DE"/>
        </w:rPr>
      </w:pPr>
      <w:r>
        <w:rPr>
          <w:noProof/>
          <w:lang w:eastAsia="en-GB"/>
        </w:rPr>
        <mc:AlternateContent>
          <mc:Choice Requires="wpc">
            <w:drawing>
              <wp:inline distT="0" distB="0" distL="0" distR="0" wp14:anchorId="0E47D5DF" wp14:editId="36F69592">
                <wp:extent cx="5785485" cy="3559175"/>
                <wp:effectExtent l="0" t="0" r="0" b="3175"/>
                <wp:docPr id="36" name="Canvas 36"/>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3" name="Rectangle 74"/>
                        <wps:cNvSpPr>
                          <a:spLocks noChangeArrowheads="1"/>
                        </wps:cNvSpPr>
                        <wps:spPr bwMode="auto">
                          <a:xfrm>
                            <a:off x="8800" y="5700"/>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A80DC3" w14:textId="77777777" w:rsidR="00F1538F" w:rsidRDefault="00F1538F" w:rsidP="00E70C65">
                              <w:r>
                                <w:rPr>
                                  <w:rFonts w:ascii="Arial" w:hAnsi="Arial" w:cs="Arial"/>
                                  <w:color w:val="000000"/>
                                  <w:lang w:val="en-US"/>
                                </w:rPr>
                                <w:t xml:space="preserve"> </w:t>
                              </w:r>
                            </w:p>
                          </w:txbxContent>
                        </wps:txbx>
                        <wps:bodyPr rot="0" vert="horz" wrap="none" lIns="0" tIns="0" rIns="0" bIns="0" anchor="t" anchorCtr="0" upright="1">
                          <a:spAutoFit/>
                        </wps:bodyPr>
                      </wps:wsp>
                      <wpg:wgp>
                        <wpg:cNvPr id="4" name="Group 75"/>
                        <wpg:cNvGrpSpPr>
                          <a:grpSpLocks/>
                        </wpg:cNvGrpSpPr>
                        <wpg:grpSpPr bwMode="auto">
                          <a:xfrm>
                            <a:off x="8800" y="175204"/>
                            <a:ext cx="1009715" cy="673114"/>
                            <a:chOff x="14" y="276"/>
                            <a:chExt cx="1590" cy="1060"/>
                          </a:xfrm>
                        </wpg:grpSpPr>
                        <wps:wsp>
                          <wps:cNvPr id="5" name="Freeform 76"/>
                          <wps:cNvSpPr>
                            <a:spLocks/>
                          </wps:cNvSpPr>
                          <wps:spPr bwMode="auto">
                            <a:xfrm>
                              <a:off x="919" y="458"/>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7"/>
                          <wps:cNvSpPr>
                            <a:spLocks/>
                          </wps:cNvSpPr>
                          <wps:spPr bwMode="auto">
                            <a:xfrm>
                              <a:off x="1044" y="582"/>
                              <a:ext cx="116" cy="109"/>
                            </a:xfrm>
                            <a:custGeom>
                              <a:avLst/>
                              <a:gdLst>
                                <a:gd name="T0" fmla="*/ 0 w 116"/>
                                <a:gd name="T1" fmla="*/ 42 h 109"/>
                                <a:gd name="T2" fmla="*/ 45 w 116"/>
                                <a:gd name="T3" fmla="*/ 42 h 109"/>
                                <a:gd name="T4" fmla="*/ 58 w 116"/>
                                <a:gd name="T5" fmla="*/ 0 h 109"/>
                                <a:gd name="T6" fmla="*/ 73 w 116"/>
                                <a:gd name="T7" fmla="*/ 42 h 109"/>
                                <a:gd name="T8" fmla="*/ 116 w 116"/>
                                <a:gd name="T9" fmla="*/ 42 h 109"/>
                                <a:gd name="T10" fmla="*/ 81 w 116"/>
                                <a:gd name="T11" fmla="*/ 68 h 109"/>
                                <a:gd name="T12" fmla="*/ 94 w 116"/>
                                <a:gd name="T13" fmla="*/ 109 h 109"/>
                                <a:gd name="T14" fmla="*/ 58 w 116"/>
                                <a:gd name="T15" fmla="*/ 85 h 109"/>
                                <a:gd name="T16" fmla="*/ 22 w 116"/>
                                <a:gd name="T17" fmla="*/ 109 h 109"/>
                                <a:gd name="T18" fmla="*/ 37 w 116"/>
                                <a:gd name="T19" fmla="*/ 68 h 109"/>
                                <a:gd name="T20" fmla="*/ 0 w 116"/>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09">
                                  <a:moveTo>
                                    <a:pt x="0" y="42"/>
                                  </a:moveTo>
                                  <a:lnTo>
                                    <a:pt x="45" y="42"/>
                                  </a:lnTo>
                                  <a:lnTo>
                                    <a:pt x="58" y="0"/>
                                  </a:lnTo>
                                  <a:lnTo>
                                    <a:pt x="73" y="42"/>
                                  </a:lnTo>
                                  <a:lnTo>
                                    <a:pt x="116" y="42"/>
                                  </a:lnTo>
                                  <a:lnTo>
                                    <a:pt x="81" y="68"/>
                                  </a:lnTo>
                                  <a:lnTo>
                                    <a:pt x="94" y="109"/>
                                  </a:lnTo>
                                  <a:lnTo>
                                    <a:pt x="58" y="85"/>
                                  </a:lnTo>
                                  <a:lnTo>
                                    <a:pt x="22" y="109"/>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78"/>
                          <wps:cNvSpPr>
                            <a:spLocks/>
                          </wps:cNvSpPr>
                          <wps:spPr bwMode="auto">
                            <a:xfrm>
                              <a:off x="1088" y="751"/>
                              <a:ext cx="115" cy="109"/>
                            </a:xfrm>
                            <a:custGeom>
                              <a:avLst/>
                              <a:gdLst>
                                <a:gd name="T0" fmla="*/ 0 w 115"/>
                                <a:gd name="T1" fmla="*/ 41 h 109"/>
                                <a:gd name="T2" fmla="*/ 44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4"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79"/>
                          <wps:cNvSpPr>
                            <a:spLocks/>
                          </wps:cNvSpPr>
                          <wps:spPr bwMode="auto">
                            <a:xfrm>
                              <a:off x="1044" y="919"/>
                              <a:ext cx="116" cy="110"/>
                            </a:xfrm>
                            <a:custGeom>
                              <a:avLst/>
                              <a:gdLst>
                                <a:gd name="T0" fmla="*/ 0 w 116"/>
                                <a:gd name="T1" fmla="*/ 42 h 110"/>
                                <a:gd name="T2" fmla="*/ 45 w 116"/>
                                <a:gd name="T3" fmla="*/ 42 h 110"/>
                                <a:gd name="T4" fmla="*/ 58 w 116"/>
                                <a:gd name="T5" fmla="*/ 0 h 110"/>
                                <a:gd name="T6" fmla="*/ 73 w 116"/>
                                <a:gd name="T7" fmla="*/ 42 h 110"/>
                                <a:gd name="T8" fmla="*/ 116 w 116"/>
                                <a:gd name="T9" fmla="*/ 42 h 110"/>
                                <a:gd name="T10" fmla="*/ 81 w 116"/>
                                <a:gd name="T11" fmla="*/ 68 h 110"/>
                                <a:gd name="T12" fmla="*/ 94 w 116"/>
                                <a:gd name="T13" fmla="*/ 110 h 110"/>
                                <a:gd name="T14" fmla="*/ 58 w 116"/>
                                <a:gd name="T15" fmla="*/ 84 h 110"/>
                                <a:gd name="T16" fmla="*/ 22 w 116"/>
                                <a:gd name="T17" fmla="*/ 110 h 110"/>
                                <a:gd name="T18" fmla="*/ 37 w 116"/>
                                <a:gd name="T19" fmla="*/ 68 h 110"/>
                                <a:gd name="T20" fmla="*/ 0 w 116"/>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6" h="110">
                                  <a:moveTo>
                                    <a:pt x="0" y="42"/>
                                  </a:moveTo>
                                  <a:lnTo>
                                    <a:pt x="45" y="42"/>
                                  </a:lnTo>
                                  <a:lnTo>
                                    <a:pt x="58" y="0"/>
                                  </a:lnTo>
                                  <a:lnTo>
                                    <a:pt x="73" y="42"/>
                                  </a:lnTo>
                                  <a:lnTo>
                                    <a:pt x="116" y="42"/>
                                  </a:lnTo>
                                  <a:lnTo>
                                    <a:pt x="81" y="68"/>
                                  </a:lnTo>
                                  <a:lnTo>
                                    <a:pt x="94" y="110"/>
                                  </a:lnTo>
                                  <a:lnTo>
                                    <a:pt x="58" y="84"/>
                                  </a:lnTo>
                                  <a:lnTo>
                                    <a:pt x="22" y="110"/>
                                  </a:lnTo>
                                  <a:lnTo>
                                    <a:pt x="37"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80"/>
                          <wps:cNvSpPr>
                            <a:spLocks/>
                          </wps:cNvSpPr>
                          <wps:spPr bwMode="auto">
                            <a:xfrm>
                              <a:off x="919" y="1043"/>
                              <a:ext cx="117" cy="110"/>
                            </a:xfrm>
                            <a:custGeom>
                              <a:avLst/>
                              <a:gdLst>
                                <a:gd name="T0" fmla="*/ 0 w 117"/>
                                <a:gd name="T1" fmla="*/ 42 h 110"/>
                                <a:gd name="T2" fmla="*/ 45 w 117"/>
                                <a:gd name="T3" fmla="*/ 42 h 110"/>
                                <a:gd name="T4" fmla="*/ 59 w 117"/>
                                <a:gd name="T5" fmla="*/ 0 h 110"/>
                                <a:gd name="T6" fmla="*/ 72 w 117"/>
                                <a:gd name="T7" fmla="*/ 42 h 110"/>
                                <a:gd name="T8" fmla="*/ 117 w 117"/>
                                <a:gd name="T9" fmla="*/ 42 h 110"/>
                                <a:gd name="T10" fmla="*/ 81 w 117"/>
                                <a:gd name="T11" fmla="*/ 68 h 110"/>
                                <a:gd name="T12" fmla="*/ 95 w 117"/>
                                <a:gd name="T13" fmla="*/ 110 h 110"/>
                                <a:gd name="T14" fmla="*/ 59 w 117"/>
                                <a:gd name="T15" fmla="*/ 84 h 110"/>
                                <a:gd name="T16" fmla="*/ 23 w 117"/>
                                <a:gd name="T17" fmla="*/ 110 h 110"/>
                                <a:gd name="T18" fmla="*/ 36 w 117"/>
                                <a:gd name="T19" fmla="*/ 68 h 110"/>
                                <a:gd name="T20" fmla="*/ 0 w 117"/>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7" h="110">
                                  <a:moveTo>
                                    <a:pt x="0" y="42"/>
                                  </a:moveTo>
                                  <a:lnTo>
                                    <a:pt x="45" y="42"/>
                                  </a:lnTo>
                                  <a:lnTo>
                                    <a:pt x="59" y="0"/>
                                  </a:lnTo>
                                  <a:lnTo>
                                    <a:pt x="72" y="42"/>
                                  </a:lnTo>
                                  <a:lnTo>
                                    <a:pt x="117" y="42"/>
                                  </a:lnTo>
                                  <a:lnTo>
                                    <a:pt x="81" y="68"/>
                                  </a:lnTo>
                                  <a:lnTo>
                                    <a:pt x="95" y="110"/>
                                  </a:lnTo>
                                  <a:lnTo>
                                    <a:pt x="59" y="84"/>
                                  </a:lnTo>
                                  <a:lnTo>
                                    <a:pt x="23"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81"/>
                          <wps:cNvSpPr>
                            <a:spLocks/>
                          </wps:cNvSpPr>
                          <wps:spPr bwMode="auto">
                            <a:xfrm>
                              <a:off x="752" y="1086"/>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70 h 111"/>
                                <a:gd name="T12" fmla="*/ 93 w 115"/>
                                <a:gd name="T13" fmla="*/ 111 h 111"/>
                                <a:gd name="T14" fmla="*/ 57 w 115"/>
                                <a:gd name="T15" fmla="*/ 86 h 111"/>
                                <a:gd name="T16" fmla="*/ 21 w 115"/>
                                <a:gd name="T17" fmla="*/ 111 h 111"/>
                                <a:gd name="T18" fmla="*/ 36 w 115"/>
                                <a:gd name="T19" fmla="*/ 70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70"/>
                                  </a:lnTo>
                                  <a:lnTo>
                                    <a:pt x="93" y="111"/>
                                  </a:lnTo>
                                  <a:lnTo>
                                    <a:pt x="57" y="86"/>
                                  </a:lnTo>
                                  <a:lnTo>
                                    <a:pt x="21" y="111"/>
                                  </a:lnTo>
                                  <a:lnTo>
                                    <a:pt x="36" y="70"/>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82"/>
                          <wps:cNvSpPr>
                            <a:spLocks/>
                          </wps:cNvSpPr>
                          <wps:spPr bwMode="auto">
                            <a:xfrm>
                              <a:off x="583" y="1043"/>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83"/>
                          <wps:cNvSpPr>
                            <a:spLocks/>
                          </wps:cNvSpPr>
                          <wps:spPr bwMode="auto">
                            <a:xfrm>
                              <a:off x="459" y="919"/>
                              <a:ext cx="115" cy="110"/>
                            </a:xfrm>
                            <a:custGeom>
                              <a:avLst/>
                              <a:gdLst>
                                <a:gd name="T0" fmla="*/ 0 w 115"/>
                                <a:gd name="T1" fmla="*/ 42 h 110"/>
                                <a:gd name="T2" fmla="*/ 43 w 115"/>
                                <a:gd name="T3" fmla="*/ 42 h 110"/>
                                <a:gd name="T4" fmla="*/ 57 w 115"/>
                                <a:gd name="T5" fmla="*/ 0 h 110"/>
                                <a:gd name="T6" fmla="*/ 70 w 115"/>
                                <a:gd name="T7" fmla="*/ 42 h 110"/>
                                <a:gd name="T8" fmla="*/ 115 w 115"/>
                                <a:gd name="T9" fmla="*/ 42 h 110"/>
                                <a:gd name="T10" fmla="*/ 79 w 115"/>
                                <a:gd name="T11" fmla="*/ 68 h 110"/>
                                <a:gd name="T12" fmla="*/ 94 w 115"/>
                                <a:gd name="T13" fmla="*/ 110 h 110"/>
                                <a:gd name="T14" fmla="*/ 57 w 115"/>
                                <a:gd name="T15" fmla="*/ 84 h 110"/>
                                <a:gd name="T16" fmla="*/ 21 w 115"/>
                                <a:gd name="T17" fmla="*/ 110 h 110"/>
                                <a:gd name="T18" fmla="*/ 34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3" y="42"/>
                                  </a:lnTo>
                                  <a:lnTo>
                                    <a:pt x="57" y="0"/>
                                  </a:lnTo>
                                  <a:lnTo>
                                    <a:pt x="70" y="42"/>
                                  </a:lnTo>
                                  <a:lnTo>
                                    <a:pt x="115" y="42"/>
                                  </a:lnTo>
                                  <a:lnTo>
                                    <a:pt x="79" y="68"/>
                                  </a:lnTo>
                                  <a:lnTo>
                                    <a:pt x="94" y="110"/>
                                  </a:lnTo>
                                  <a:lnTo>
                                    <a:pt x="57" y="84"/>
                                  </a:lnTo>
                                  <a:lnTo>
                                    <a:pt x="21" y="110"/>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84"/>
                          <wps:cNvSpPr>
                            <a:spLocks/>
                          </wps:cNvSpPr>
                          <wps:spPr bwMode="auto">
                            <a:xfrm>
                              <a:off x="414" y="751"/>
                              <a:ext cx="115" cy="109"/>
                            </a:xfrm>
                            <a:custGeom>
                              <a:avLst/>
                              <a:gdLst>
                                <a:gd name="T0" fmla="*/ 0 w 115"/>
                                <a:gd name="T1" fmla="*/ 41 h 109"/>
                                <a:gd name="T2" fmla="*/ 45 w 115"/>
                                <a:gd name="T3" fmla="*/ 41 h 109"/>
                                <a:gd name="T4" fmla="*/ 59 w 115"/>
                                <a:gd name="T5" fmla="*/ 0 h 109"/>
                                <a:gd name="T6" fmla="*/ 72 w 115"/>
                                <a:gd name="T7" fmla="*/ 41 h 109"/>
                                <a:gd name="T8" fmla="*/ 115 w 115"/>
                                <a:gd name="T9" fmla="*/ 41 h 109"/>
                                <a:gd name="T10" fmla="*/ 81 w 115"/>
                                <a:gd name="T11" fmla="*/ 67 h 109"/>
                                <a:gd name="T12" fmla="*/ 94 w 115"/>
                                <a:gd name="T13" fmla="*/ 109 h 109"/>
                                <a:gd name="T14" fmla="*/ 59 w 115"/>
                                <a:gd name="T15" fmla="*/ 83 h 109"/>
                                <a:gd name="T16" fmla="*/ 23 w 115"/>
                                <a:gd name="T17" fmla="*/ 109 h 109"/>
                                <a:gd name="T18" fmla="*/ 36 w 115"/>
                                <a:gd name="T19" fmla="*/ 67 h 109"/>
                                <a:gd name="T20" fmla="*/ 0 w 115"/>
                                <a:gd name="T21" fmla="*/ 41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1"/>
                                  </a:moveTo>
                                  <a:lnTo>
                                    <a:pt x="45" y="41"/>
                                  </a:lnTo>
                                  <a:lnTo>
                                    <a:pt x="59" y="0"/>
                                  </a:lnTo>
                                  <a:lnTo>
                                    <a:pt x="72" y="41"/>
                                  </a:lnTo>
                                  <a:lnTo>
                                    <a:pt x="115" y="41"/>
                                  </a:lnTo>
                                  <a:lnTo>
                                    <a:pt x="81" y="67"/>
                                  </a:lnTo>
                                  <a:lnTo>
                                    <a:pt x="94" y="109"/>
                                  </a:lnTo>
                                  <a:lnTo>
                                    <a:pt x="59" y="83"/>
                                  </a:lnTo>
                                  <a:lnTo>
                                    <a:pt x="23" y="109"/>
                                  </a:lnTo>
                                  <a:lnTo>
                                    <a:pt x="36" y="67"/>
                                  </a:lnTo>
                                  <a:lnTo>
                                    <a:pt x="0" y="41"/>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85"/>
                          <wps:cNvSpPr>
                            <a:spLocks/>
                          </wps:cNvSpPr>
                          <wps:spPr bwMode="auto">
                            <a:xfrm>
                              <a:off x="459" y="582"/>
                              <a:ext cx="115" cy="109"/>
                            </a:xfrm>
                            <a:custGeom>
                              <a:avLst/>
                              <a:gdLst>
                                <a:gd name="T0" fmla="*/ 0 w 115"/>
                                <a:gd name="T1" fmla="*/ 42 h 109"/>
                                <a:gd name="T2" fmla="*/ 43 w 115"/>
                                <a:gd name="T3" fmla="*/ 42 h 109"/>
                                <a:gd name="T4" fmla="*/ 57 w 115"/>
                                <a:gd name="T5" fmla="*/ 0 h 109"/>
                                <a:gd name="T6" fmla="*/ 70 w 115"/>
                                <a:gd name="T7" fmla="*/ 42 h 109"/>
                                <a:gd name="T8" fmla="*/ 115 w 115"/>
                                <a:gd name="T9" fmla="*/ 42 h 109"/>
                                <a:gd name="T10" fmla="*/ 79 w 115"/>
                                <a:gd name="T11" fmla="*/ 68 h 109"/>
                                <a:gd name="T12" fmla="*/ 94 w 115"/>
                                <a:gd name="T13" fmla="*/ 109 h 109"/>
                                <a:gd name="T14" fmla="*/ 57 w 115"/>
                                <a:gd name="T15" fmla="*/ 85 h 109"/>
                                <a:gd name="T16" fmla="*/ 21 w 115"/>
                                <a:gd name="T17" fmla="*/ 109 h 109"/>
                                <a:gd name="T18" fmla="*/ 34 w 115"/>
                                <a:gd name="T19" fmla="*/ 68 h 109"/>
                                <a:gd name="T20" fmla="*/ 0 w 115"/>
                                <a:gd name="T21" fmla="*/ 42 h 109"/>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09">
                                  <a:moveTo>
                                    <a:pt x="0" y="42"/>
                                  </a:moveTo>
                                  <a:lnTo>
                                    <a:pt x="43" y="42"/>
                                  </a:lnTo>
                                  <a:lnTo>
                                    <a:pt x="57" y="0"/>
                                  </a:lnTo>
                                  <a:lnTo>
                                    <a:pt x="70" y="42"/>
                                  </a:lnTo>
                                  <a:lnTo>
                                    <a:pt x="115" y="42"/>
                                  </a:lnTo>
                                  <a:lnTo>
                                    <a:pt x="79" y="68"/>
                                  </a:lnTo>
                                  <a:lnTo>
                                    <a:pt x="94" y="109"/>
                                  </a:lnTo>
                                  <a:lnTo>
                                    <a:pt x="57" y="85"/>
                                  </a:lnTo>
                                  <a:lnTo>
                                    <a:pt x="21" y="109"/>
                                  </a:lnTo>
                                  <a:lnTo>
                                    <a:pt x="34"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86"/>
                          <wps:cNvSpPr>
                            <a:spLocks/>
                          </wps:cNvSpPr>
                          <wps:spPr bwMode="auto">
                            <a:xfrm>
                              <a:off x="583" y="458"/>
                              <a:ext cx="115" cy="110"/>
                            </a:xfrm>
                            <a:custGeom>
                              <a:avLst/>
                              <a:gdLst>
                                <a:gd name="T0" fmla="*/ 0 w 115"/>
                                <a:gd name="T1" fmla="*/ 42 h 110"/>
                                <a:gd name="T2" fmla="*/ 45 w 115"/>
                                <a:gd name="T3" fmla="*/ 42 h 110"/>
                                <a:gd name="T4" fmla="*/ 58 w 115"/>
                                <a:gd name="T5" fmla="*/ 0 h 110"/>
                                <a:gd name="T6" fmla="*/ 72 w 115"/>
                                <a:gd name="T7" fmla="*/ 42 h 110"/>
                                <a:gd name="T8" fmla="*/ 115 w 115"/>
                                <a:gd name="T9" fmla="*/ 42 h 110"/>
                                <a:gd name="T10" fmla="*/ 81 w 115"/>
                                <a:gd name="T11" fmla="*/ 68 h 110"/>
                                <a:gd name="T12" fmla="*/ 94 w 115"/>
                                <a:gd name="T13" fmla="*/ 110 h 110"/>
                                <a:gd name="T14" fmla="*/ 58 w 115"/>
                                <a:gd name="T15" fmla="*/ 84 h 110"/>
                                <a:gd name="T16" fmla="*/ 21 w 115"/>
                                <a:gd name="T17" fmla="*/ 110 h 110"/>
                                <a:gd name="T18" fmla="*/ 36 w 115"/>
                                <a:gd name="T19" fmla="*/ 68 h 110"/>
                                <a:gd name="T20" fmla="*/ 0 w 115"/>
                                <a:gd name="T21" fmla="*/ 42 h 110"/>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0">
                                  <a:moveTo>
                                    <a:pt x="0" y="42"/>
                                  </a:moveTo>
                                  <a:lnTo>
                                    <a:pt x="45" y="42"/>
                                  </a:lnTo>
                                  <a:lnTo>
                                    <a:pt x="58" y="0"/>
                                  </a:lnTo>
                                  <a:lnTo>
                                    <a:pt x="72" y="42"/>
                                  </a:lnTo>
                                  <a:lnTo>
                                    <a:pt x="115" y="42"/>
                                  </a:lnTo>
                                  <a:lnTo>
                                    <a:pt x="81" y="68"/>
                                  </a:lnTo>
                                  <a:lnTo>
                                    <a:pt x="94" y="110"/>
                                  </a:lnTo>
                                  <a:lnTo>
                                    <a:pt x="58" y="84"/>
                                  </a:lnTo>
                                  <a:lnTo>
                                    <a:pt x="21" y="110"/>
                                  </a:lnTo>
                                  <a:lnTo>
                                    <a:pt x="36" y="68"/>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87"/>
                          <wps:cNvSpPr>
                            <a:spLocks/>
                          </wps:cNvSpPr>
                          <wps:spPr bwMode="auto">
                            <a:xfrm>
                              <a:off x="752" y="413"/>
                              <a:ext cx="115" cy="111"/>
                            </a:xfrm>
                            <a:custGeom>
                              <a:avLst/>
                              <a:gdLst>
                                <a:gd name="T0" fmla="*/ 0 w 115"/>
                                <a:gd name="T1" fmla="*/ 42 h 111"/>
                                <a:gd name="T2" fmla="*/ 44 w 115"/>
                                <a:gd name="T3" fmla="*/ 42 h 111"/>
                                <a:gd name="T4" fmla="*/ 57 w 115"/>
                                <a:gd name="T5" fmla="*/ 0 h 111"/>
                                <a:gd name="T6" fmla="*/ 70 w 115"/>
                                <a:gd name="T7" fmla="*/ 42 h 111"/>
                                <a:gd name="T8" fmla="*/ 115 w 115"/>
                                <a:gd name="T9" fmla="*/ 42 h 111"/>
                                <a:gd name="T10" fmla="*/ 79 w 115"/>
                                <a:gd name="T11" fmla="*/ 69 h 111"/>
                                <a:gd name="T12" fmla="*/ 93 w 115"/>
                                <a:gd name="T13" fmla="*/ 111 h 111"/>
                                <a:gd name="T14" fmla="*/ 57 w 115"/>
                                <a:gd name="T15" fmla="*/ 85 h 111"/>
                                <a:gd name="T16" fmla="*/ 21 w 115"/>
                                <a:gd name="T17" fmla="*/ 111 h 111"/>
                                <a:gd name="T18" fmla="*/ 36 w 115"/>
                                <a:gd name="T19" fmla="*/ 69 h 111"/>
                                <a:gd name="T20" fmla="*/ 0 w 115"/>
                                <a:gd name="T21" fmla="*/ 42 h 111"/>
                                <a:gd name="T22" fmla="*/ 0 60000 65536"/>
                                <a:gd name="T23" fmla="*/ 0 60000 6553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Lst>
                              <a:ahLst/>
                              <a:cxnLst>
                                <a:cxn ang="T22">
                                  <a:pos x="T0" y="T1"/>
                                </a:cxn>
                                <a:cxn ang="T23">
                                  <a:pos x="T2" y="T3"/>
                                </a:cxn>
                                <a:cxn ang="T24">
                                  <a:pos x="T4" y="T5"/>
                                </a:cxn>
                                <a:cxn ang="T25">
                                  <a:pos x="T6" y="T7"/>
                                </a:cxn>
                                <a:cxn ang="T26">
                                  <a:pos x="T8" y="T9"/>
                                </a:cxn>
                                <a:cxn ang="T27">
                                  <a:pos x="T10" y="T11"/>
                                </a:cxn>
                                <a:cxn ang="T28">
                                  <a:pos x="T12" y="T13"/>
                                </a:cxn>
                                <a:cxn ang="T29">
                                  <a:pos x="T14" y="T15"/>
                                </a:cxn>
                                <a:cxn ang="T30">
                                  <a:pos x="T16" y="T17"/>
                                </a:cxn>
                                <a:cxn ang="T31">
                                  <a:pos x="T18" y="T19"/>
                                </a:cxn>
                                <a:cxn ang="T32">
                                  <a:pos x="T20" y="T21"/>
                                </a:cxn>
                              </a:cxnLst>
                              <a:rect l="0" t="0" r="r" b="b"/>
                              <a:pathLst>
                                <a:path w="115" h="111">
                                  <a:moveTo>
                                    <a:pt x="0" y="42"/>
                                  </a:moveTo>
                                  <a:lnTo>
                                    <a:pt x="44" y="42"/>
                                  </a:lnTo>
                                  <a:lnTo>
                                    <a:pt x="57" y="0"/>
                                  </a:lnTo>
                                  <a:lnTo>
                                    <a:pt x="70" y="42"/>
                                  </a:lnTo>
                                  <a:lnTo>
                                    <a:pt x="115" y="42"/>
                                  </a:lnTo>
                                  <a:lnTo>
                                    <a:pt x="79" y="69"/>
                                  </a:lnTo>
                                  <a:lnTo>
                                    <a:pt x="93" y="111"/>
                                  </a:lnTo>
                                  <a:lnTo>
                                    <a:pt x="57" y="85"/>
                                  </a:lnTo>
                                  <a:lnTo>
                                    <a:pt x="21" y="111"/>
                                  </a:lnTo>
                                  <a:lnTo>
                                    <a:pt x="36" y="69"/>
                                  </a:lnTo>
                                  <a:lnTo>
                                    <a:pt x="0" y="42"/>
                                  </a:lnTo>
                                </a:path>
                              </a:pathLst>
                            </a:custGeom>
                            <a:noFill/>
                            <a:ln w="571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Rectangle 88"/>
                          <wps:cNvSpPr>
                            <a:spLocks noChangeArrowheads="1"/>
                          </wps:cNvSpPr>
                          <wps:spPr bwMode="auto">
                            <a:xfrm>
                              <a:off x="52" y="301"/>
                              <a:ext cx="1515" cy="1009"/>
                            </a:xfrm>
                            <a:prstGeom prst="rect">
                              <a:avLst/>
                            </a:prstGeom>
                            <a:noFill/>
                            <a:ln w="825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Rectangle 89"/>
                          <wps:cNvSpPr>
                            <a:spLocks noChangeArrowheads="1"/>
                          </wps:cNvSpPr>
                          <wps:spPr bwMode="auto">
                            <a:xfrm>
                              <a:off x="14" y="276"/>
                              <a:ext cx="1590" cy="1060"/>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wps:wsp>
                        <wps:cNvPr id="19" name="Rectangle 90"/>
                        <wps:cNvSpPr>
                          <a:spLocks noChangeArrowheads="1"/>
                        </wps:cNvSpPr>
                        <wps:spPr bwMode="auto">
                          <a:xfrm>
                            <a:off x="1017215" y="712315"/>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AFCFDC" w14:textId="77777777" w:rsidR="00F1538F" w:rsidRDefault="00F1538F" w:rsidP="00E70C65">
                              <w:r>
                                <w:rPr>
                                  <w:rFonts w:ascii="Arial" w:hAnsi="Arial" w:cs="Arial"/>
                                  <w:color w:val="000000"/>
                                  <w:lang w:val="en-US"/>
                                </w:rPr>
                                <w:t xml:space="preserve"> </w:t>
                              </w:r>
                            </w:p>
                          </w:txbxContent>
                        </wps:txbx>
                        <wps:bodyPr rot="0" vert="horz" wrap="none" lIns="0" tIns="0" rIns="0" bIns="0" anchor="t" anchorCtr="0" upright="1">
                          <a:spAutoFit/>
                        </wps:bodyPr>
                      </wps:wsp>
                      <wps:wsp>
                        <wps:cNvPr id="20" name="Rectangle 91"/>
                        <wps:cNvSpPr>
                          <a:spLocks noChangeArrowheads="1"/>
                        </wps:cNvSpPr>
                        <wps:spPr bwMode="auto">
                          <a:xfrm>
                            <a:off x="1162017" y="179604"/>
                            <a:ext cx="1739265" cy="274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DD2C03" w14:textId="77777777" w:rsidR="00F1538F" w:rsidRDefault="00F1538F" w:rsidP="00E70C65">
                              <w:r>
                                <w:rPr>
                                  <w:rFonts w:ascii="Arial" w:hAnsi="Arial" w:cs="Arial"/>
                                  <w:color w:val="000000"/>
                                  <w:lang w:val="en-US"/>
                                </w:rPr>
                                <w:t>EUROPEAN COMMISSION</w:t>
                              </w:r>
                            </w:p>
                          </w:txbxContent>
                        </wps:txbx>
                        <wps:bodyPr rot="0" vert="horz" wrap="none" lIns="0" tIns="0" rIns="0" bIns="0" anchor="t" anchorCtr="0" upright="1">
                          <a:spAutoFit/>
                        </wps:bodyPr>
                      </wps:wsp>
                      <wps:wsp>
                        <wps:cNvPr id="21" name="Rectangle 92"/>
                        <wps:cNvSpPr>
                          <a:spLocks noChangeArrowheads="1"/>
                        </wps:cNvSpPr>
                        <wps:spPr bwMode="auto">
                          <a:xfrm>
                            <a:off x="3060745" y="17960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78FFDD" w14:textId="77777777" w:rsidR="00F1538F" w:rsidRDefault="00F1538F" w:rsidP="00E70C65">
                              <w:r>
                                <w:rPr>
                                  <w:rFonts w:ascii="Arial" w:hAnsi="Arial" w:cs="Arial"/>
                                  <w:color w:val="000000"/>
                                  <w:lang w:val="en-US"/>
                                </w:rPr>
                                <w:t xml:space="preserve"> </w:t>
                              </w:r>
                            </w:p>
                          </w:txbxContent>
                        </wps:txbx>
                        <wps:bodyPr rot="0" vert="horz" wrap="none" lIns="0" tIns="0" rIns="0" bIns="0" anchor="t" anchorCtr="0" upright="1">
                          <a:spAutoFit/>
                        </wps:bodyPr>
                      </wps:wsp>
                      <wps:wsp>
                        <wps:cNvPr id="22" name="Rectangle 93"/>
                        <wps:cNvSpPr>
                          <a:spLocks noChangeArrowheads="1"/>
                        </wps:cNvSpPr>
                        <wps:spPr bwMode="auto">
                          <a:xfrm>
                            <a:off x="5742984" y="179604"/>
                            <a:ext cx="3937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24E67B" w14:textId="77777777" w:rsidR="00F1538F" w:rsidRDefault="00F1538F" w:rsidP="00E70C65">
                              <w:r>
                                <w:rPr>
                                  <w:rFonts w:ascii="Arial" w:hAnsi="Arial" w:cs="Arial"/>
                                  <w:color w:val="000000"/>
                                  <w:lang w:val="en-US"/>
                                </w:rPr>
                                <w:t xml:space="preserve"> </w:t>
                              </w:r>
                            </w:p>
                          </w:txbxContent>
                        </wps:txbx>
                        <wps:bodyPr rot="0" vert="horz" wrap="none" lIns="0" tIns="0" rIns="0" bIns="0" anchor="t" anchorCtr="0" upright="1">
                          <a:spAutoFit/>
                        </wps:bodyPr>
                      </wps:wsp>
                      <wps:wsp>
                        <wps:cNvPr id="23" name="Rectangle 94"/>
                        <wps:cNvSpPr>
                          <a:spLocks noChangeArrowheads="1"/>
                        </wps:cNvSpPr>
                        <wps:spPr bwMode="auto">
                          <a:xfrm>
                            <a:off x="3251248" y="1092223"/>
                            <a:ext cx="74803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B6588E" w14:textId="77777777" w:rsidR="00F1538F" w:rsidRDefault="00F1538F" w:rsidP="00E70C65">
                              <w:r>
                                <w:rPr>
                                  <w:color w:val="000000"/>
                                  <w:lang w:val="en-US"/>
                                </w:rPr>
                                <w:t>Brussels, XXX</w:t>
                              </w:r>
                            </w:p>
                          </w:txbxContent>
                        </wps:txbx>
                        <wps:bodyPr rot="0" vert="horz" wrap="none" lIns="0" tIns="0" rIns="0" bIns="0" anchor="t" anchorCtr="0" upright="1">
                          <a:spAutoFit/>
                        </wps:bodyPr>
                      </wps:wsp>
                      <wps:wsp>
                        <wps:cNvPr id="24" name="Rectangle 95"/>
                        <wps:cNvSpPr>
                          <a:spLocks noChangeArrowheads="1"/>
                        </wps:cNvSpPr>
                        <wps:spPr bwMode="auto">
                          <a:xfrm>
                            <a:off x="4173861" y="1092223"/>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F5E7A8" w14:textId="77777777" w:rsidR="00F1538F" w:rsidRDefault="00F1538F" w:rsidP="00E70C65">
                              <w:r>
                                <w:rPr>
                                  <w:color w:val="000000"/>
                                  <w:lang w:val="en-US"/>
                                </w:rPr>
                                <w:t xml:space="preserve"> </w:t>
                              </w:r>
                            </w:p>
                          </w:txbxContent>
                        </wps:txbx>
                        <wps:bodyPr rot="0" vert="horz" wrap="none" lIns="0" tIns="0" rIns="0" bIns="0" anchor="t" anchorCtr="0" upright="1">
                          <a:spAutoFit/>
                        </wps:bodyPr>
                      </wps:wsp>
                      <wps:wsp>
                        <wps:cNvPr id="25" name="Rectangle 96"/>
                        <wps:cNvSpPr>
                          <a:spLocks noChangeArrowheads="1"/>
                        </wps:cNvSpPr>
                        <wps:spPr bwMode="auto">
                          <a:xfrm>
                            <a:off x="3251248" y="1267427"/>
                            <a:ext cx="182245"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27AFF" w14:textId="77777777" w:rsidR="00F1538F" w:rsidRDefault="00F1538F" w:rsidP="00E70C65">
                              <w:r>
                                <w:rPr>
                                  <w:color w:val="0000FF"/>
                                  <w:lang w:val="en-US"/>
                                </w:rPr>
                                <w:t>[…]</w:t>
                              </w:r>
                            </w:p>
                          </w:txbxContent>
                        </wps:txbx>
                        <wps:bodyPr rot="0" vert="horz" wrap="none" lIns="0" tIns="0" rIns="0" bIns="0" anchor="t" anchorCtr="0" upright="1">
                          <a:spAutoFit/>
                        </wps:bodyPr>
                      </wps:wsp>
                      <wps:wsp>
                        <wps:cNvPr id="26" name="Rectangle 97"/>
                        <wps:cNvSpPr>
                          <a:spLocks noChangeArrowheads="1"/>
                        </wps:cNvSpPr>
                        <wps:spPr bwMode="auto">
                          <a:xfrm>
                            <a:off x="3507752" y="1267427"/>
                            <a:ext cx="131191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24E2D4" w14:textId="77777777" w:rsidR="00F1538F" w:rsidRDefault="00F1538F" w:rsidP="00E70C65">
                              <w:r>
                                <w:rPr>
                                  <w:color w:val="000000"/>
                                  <w:lang w:val="en-US"/>
                                </w:rPr>
                                <w:t>(2021) XXX draft</w:t>
                              </w:r>
                            </w:p>
                          </w:txbxContent>
                        </wps:txbx>
                        <wps:bodyPr rot="0" vert="horz" wrap="square" lIns="0" tIns="0" rIns="0" bIns="0" anchor="t" anchorCtr="0" upright="1">
                          <a:spAutoFit/>
                        </wps:bodyPr>
                      </wps:wsp>
                      <wps:wsp>
                        <wps:cNvPr id="27" name="Rectangle 98"/>
                        <wps:cNvSpPr>
                          <a:spLocks noChangeArrowheads="1"/>
                        </wps:cNvSpPr>
                        <wps:spPr bwMode="auto">
                          <a:xfrm>
                            <a:off x="4605668" y="1267427"/>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2ADB9" w14:textId="77777777" w:rsidR="00F1538F" w:rsidRDefault="00F1538F" w:rsidP="00E70C65">
                              <w:r>
                                <w:rPr>
                                  <w:color w:val="000000"/>
                                  <w:lang w:val="en-US"/>
                                </w:rPr>
                                <w:t xml:space="preserve"> </w:t>
                              </w:r>
                            </w:p>
                          </w:txbxContent>
                        </wps:txbx>
                        <wps:bodyPr rot="0" vert="horz" wrap="none" lIns="0" tIns="0" rIns="0" bIns="0" anchor="t" anchorCtr="0" upright="1">
                          <a:spAutoFit/>
                        </wps:bodyPr>
                      </wps:wsp>
                      <wps:wsp>
                        <wps:cNvPr id="28" name="Rectangle 99"/>
                        <wps:cNvSpPr>
                          <a:spLocks noChangeArrowheads="1"/>
                        </wps:cNvSpPr>
                        <wps:spPr bwMode="auto">
                          <a:xfrm>
                            <a:off x="3251248" y="1748137"/>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4B04DD" w14:textId="77777777" w:rsidR="00F1538F" w:rsidRDefault="00F1538F" w:rsidP="00E70C65">
                              <w:r>
                                <w:rPr>
                                  <w:color w:val="000000"/>
                                  <w:lang w:val="en-US"/>
                                </w:rPr>
                                <w:t xml:space="preserve"> </w:t>
                              </w:r>
                            </w:p>
                          </w:txbxContent>
                        </wps:txbx>
                        <wps:bodyPr rot="0" vert="horz" wrap="none" lIns="0" tIns="0" rIns="0" bIns="0" anchor="t" anchorCtr="0" upright="1">
                          <a:spAutoFit/>
                        </wps:bodyPr>
                      </wps:wsp>
                      <wps:wsp>
                        <wps:cNvPr id="29" name="Rectangle 100"/>
                        <wps:cNvSpPr>
                          <a:spLocks noChangeArrowheads="1"/>
                        </wps:cNvSpPr>
                        <wps:spPr bwMode="auto">
                          <a:xfrm>
                            <a:off x="3289348" y="1748137"/>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5D0A05" w14:textId="77777777" w:rsidR="00F1538F" w:rsidRDefault="00F1538F" w:rsidP="00E70C65">
                              <w:r>
                                <w:rPr>
                                  <w:color w:val="000000"/>
                                  <w:lang w:val="en-US"/>
                                </w:rPr>
                                <w:t xml:space="preserve"> </w:t>
                              </w:r>
                            </w:p>
                          </w:txbxContent>
                        </wps:txbx>
                        <wps:bodyPr rot="0" vert="horz" wrap="none" lIns="0" tIns="0" rIns="0" bIns="0" anchor="t" anchorCtr="0" upright="1">
                          <a:spAutoFit/>
                        </wps:bodyPr>
                      </wps:wsp>
                      <wps:wsp>
                        <wps:cNvPr id="30" name="Rectangle 101"/>
                        <wps:cNvSpPr>
                          <a:spLocks noChangeArrowheads="1"/>
                        </wps:cNvSpPr>
                        <wps:spPr bwMode="auto">
                          <a:xfrm>
                            <a:off x="748611" y="2305049"/>
                            <a:ext cx="330581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791745" w14:textId="77777777" w:rsidR="00F1538F" w:rsidRDefault="00F1538F" w:rsidP="00E70C65">
                              <w:r>
                                <w:rPr>
                                  <w:b/>
                                  <w:bCs/>
                                  <w:color w:val="000000"/>
                                  <w:lang w:val="en-US"/>
                                </w:rPr>
                                <w:t>COMMISSION IMPLEMENTING REGULATION (EU) No …/..</w:t>
                              </w:r>
                            </w:p>
                          </w:txbxContent>
                        </wps:txbx>
                        <wps:bodyPr rot="0" vert="horz" wrap="none" lIns="0" tIns="0" rIns="0" bIns="0" anchor="t" anchorCtr="0" upright="1">
                          <a:spAutoFit/>
                        </wps:bodyPr>
                      </wps:wsp>
                      <wps:wsp>
                        <wps:cNvPr id="31" name="Rectangle 102"/>
                        <wps:cNvSpPr>
                          <a:spLocks noChangeArrowheads="1"/>
                        </wps:cNvSpPr>
                        <wps:spPr bwMode="auto">
                          <a:xfrm>
                            <a:off x="5032374" y="2305049"/>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A655B3" w14:textId="77777777" w:rsidR="00F1538F" w:rsidRDefault="00F1538F" w:rsidP="00E70C65">
                              <w:r>
                                <w:rPr>
                                  <w:b/>
                                  <w:bCs/>
                                  <w:color w:val="000000"/>
                                  <w:lang w:val="en-US"/>
                                </w:rPr>
                                <w:t xml:space="preserve"> </w:t>
                              </w:r>
                            </w:p>
                          </w:txbxContent>
                        </wps:txbx>
                        <wps:bodyPr rot="0" vert="horz" wrap="none" lIns="0" tIns="0" rIns="0" bIns="0" anchor="t" anchorCtr="0" upright="1">
                          <a:spAutoFit/>
                        </wps:bodyPr>
                      </wps:wsp>
                      <wps:wsp>
                        <wps:cNvPr id="32" name="Rectangle 103"/>
                        <wps:cNvSpPr>
                          <a:spLocks noChangeArrowheads="1"/>
                        </wps:cNvSpPr>
                        <wps:spPr bwMode="auto">
                          <a:xfrm>
                            <a:off x="2642839" y="2709557"/>
                            <a:ext cx="3048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C7E7A8" w14:textId="77777777" w:rsidR="00F1538F" w:rsidRDefault="00F1538F" w:rsidP="00E70C65">
                              <w:proofErr w:type="gramStart"/>
                              <w:r>
                                <w:rPr>
                                  <w:b/>
                                  <w:bCs/>
                                  <w:color w:val="000000"/>
                                  <w:lang w:val="en-US"/>
                                </w:rPr>
                                <w:t>of</w:t>
                              </w:r>
                              <w:proofErr w:type="gramEnd"/>
                              <w:r>
                                <w:rPr>
                                  <w:b/>
                                  <w:bCs/>
                                  <w:color w:val="000000"/>
                                  <w:lang w:val="en-US"/>
                                </w:rPr>
                                <w:t xml:space="preserve"> [  ]</w:t>
                              </w:r>
                            </w:p>
                          </w:txbxContent>
                        </wps:txbx>
                        <wps:bodyPr rot="0" vert="horz" wrap="none" lIns="0" tIns="0" rIns="0" bIns="0" anchor="t" anchorCtr="0" upright="1">
                          <a:spAutoFit/>
                        </wps:bodyPr>
                      </wps:wsp>
                      <wps:wsp>
                        <wps:cNvPr id="33" name="Rectangle 104"/>
                        <wps:cNvSpPr>
                          <a:spLocks noChangeArrowheads="1"/>
                        </wps:cNvSpPr>
                        <wps:spPr bwMode="auto">
                          <a:xfrm>
                            <a:off x="3138146" y="2709557"/>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6971AE" w14:textId="77777777" w:rsidR="00F1538F" w:rsidRDefault="00F1538F" w:rsidP="00E70C65">
                              <w:r>
                                <w:rPr>
                                  <w:b/>
                                  <w:bCs/>
                                  <w:color w:val="000000"/>
                                  <w:lang w:val="en-US"/>
                                </w:rPr>
                                <w:t xml:space="preserve"> </w:t>
                              </w:r>
                            </w:p>
                          </w:txbxContent>
                        </wps:txbx>
                        <wps:bodyPr rot="0" vert="horz" wrap="none" lIns="0" tIns="0" rIns="0" bIns="0" anchor="t" anchorCtr="0" upright="1">
                          <a:spAutoFit/>
                        </wps:bodyPr>
                      </wps:wsp>
                      <wps:wsp>
                        <wps:cNvPr id="34" name="Rectangle 105"/>
                        <wps:cNvSpPr>
                          <a:spLocks noChangeArrowheads="1"/>
                        </wps:cNvSpPr>
                        <wps:spPr bwMode="auto">
                          <a:xfrm>
                            <a:off x="2810541" y="3113466"/>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7205B6" w14:textId="77777777" w:rsidR="00F1538F" w:rsidRDefault="00F1538F" w:rsidP="00E70C65">
                              <w:r>
                                <w:rPr>
                                  <w:b/>
                                  <w:bCs/>
                                  <w:color w:val="000000"/>
                                  <w:lang w:val="en-US"/>
                                </w:rPr>
                                <w:t xml:space="preserve"> </w:t>
                              </w:r>
                            </w:p>
                          </w:txbxContent>
                        </wps:txbx>
                        <wps:bodyPr rot="0" vert="horz" wrap="none" lIns="0" tIns="0" rIns="0" bIns="0" anchor="t" anchorCtr="0" upright="1">
                          <a:spAutoFit/>
                        </wps:bodyPr>
                      </wps:wsp>
                      <wps:wsp>
                        <wps:cNvPr id="35" name="Rectangle 106"/>
                        <wps:cNvSpPr>
                          <a:spLocks noChangeArrowheads="1"/>
                        </wps:cNvSpPr>
                        <wps:spPr bwMode="auto">
                          <a:xfrm>
                            <a:off x="3010544" y="3113466"/>
                            <a:ext cx="3175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67734D" w14:textId="77777777" w:rsidR="00F1538F" w:rsidRDefault="00F1538F" w:rsidP="00E70C65">
                              <w:r>
                                <w:rPr>
                                  <w:b/>
                                  <w:bCs/>
                                  <w:color w:val="000000"/>
                                  <w:lang w:val="en-US"/>
                                </w:rPr>
                                <w:t xml:space="preserve"> </w:t>
                              </w:r>
                            </w:p>
                          </w:txbxContent>
                        </wps:txbx>
                        <wps:bodyPr rot="0" vert="horz" wrap="none" lIns="0" tIns="0" rIns="0" bIns="0" anchor="t" anchorCtr="0" upright="1">
                          <a:spAutoFit/>
                        </wps:bodyPr>
                      </wps:wsp>
                    </wpc:wpc>
                  </a:graphicData>
                </a:graphic>
              </wp:inline>
            </w:drawing>
          </mc:Choice>
          <mc:Fallback>
            <w:pict>
              <v:group w14:anchorId="0E47D5DF" id="Canvas 36" o:spid="_x0000_s1026" editas="canvas" style="width:455.55pt;height:280.25pt;mso-position-horizontal-relative:char;mso-position-vertical-relative:line" coordsize="57854,35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854;height:35591;visibility:visible;mso-wrap-style:square">
                  <v:fill o:detectmouseclick="t"/>
                  <v:path o:connecttype="none"/>
                </v:shape>
                <v:rect id="Rectangle 74" o:spid="_x0000_s1028" style="position:absolute;left:88;top:57;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" filled="f" stroked="f">
                  <v:textbox style="mso-fit-shape-to-text:t" inset="0,0,0,0">
                    <w:txbxContent>
                      <w:p w14:paraId="7DA80DC3" w14:textId="77777777" w:rsidR="00F1538F" w:rsidRDefault="00F1538F" w:rsidP="00E70C65">
                        <w:r>
                          <w:rPr>
                            <w:rFonts w:ascii="Arial" w:hAnsi="Arial" w:cs="Arial"/>
                            <w:color w:val="000000"/>
                            <w:lang w:val="en-US"/>
                          </w:rPr>
                          <w:t xml:space="preserve"> </w:t>
                        </w:r>
                      </w:p>
                    </w:txbxContent>
                  </v:textbox>
                </v:rect>
                <v:group id="Group 75" o:spid="_x0000_s1029" style="position:absolute;left:88;top:1752;width:10097;height:6731" coordorigin="14,276" coordsize="1590,1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Freeform 76" o:spid="_x0000_s1030" style="position:absolute;left:919;top:458;width:117;height:110;visibility:visible;mso-wrap-style:square;v-text-anchor:top" coordsize="1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" path="m,42r45,l59,,72,42r45,l81,68r14,42l59,84,23,110,36,68,,42e" filled="f" strokeweight=".45pt">
                    <v:path arrowok="t" o:connecttype="custom" o:connectlocs="0,42;45,42;59,0;72,42;117,42;81,68;95,110;59,84;23,110;36,68;0,42" o:connectangles="0,0,0,0,0,0,0,0,0,0,0"/>
                  </v:shape>
                  <v:shape id="Freeform 77" o:spid="_x0000_s1031" style="position:absolute;left:1044;top:582;width:116;height:109;visibility:visible;mso-wrap-style:square;v-text-anchor:top" coordsize="116,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" path="m,42r45,l58,,73,42r43,l81,68r13,41l58,85,22,109,37,68,,42e" filled="f" strokeweight=".45pt">
                    <v:path arrowok="t" o:connecttype="custom" o:connectlocs="0,42;45,42;58,0;73,42;116,42;81,68;94,109;58,85;22,109;37,68;0,42" o:connectangles="0,0,0,0,0,0,0,0,0,0,0"/>
                  </v:shape>
                  <v:shape id="Freeform 78" o:spid="_x0000_s1032" style="position:absolute;left:1088;top:751;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" path="m,41r44,l59,,72,41r43,l81,67r13,42l59,83,23,109,36,67,,41e" filled="f" strokeweight=".45pt">
                    <v:path arrowok="t" o:connecttype="custom" o:connectlocs="0,41;44,41;59,0;72,41;115,41;81,67;94,109;59,83;23,109;36,67;0,41" o:connectangles="0,0,0,0,0,0,0,0,0,0,0"/>
                  </v:shape>
                  <v:shape id="Freeform 79" o:spid="_x0000_s1033" style="position:absolute;left:1044;top:919;width:116;height:110;visibility:visible;mso-wrap-style:square;v-text-anchor:top" coordsize="116,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" path="m,42r45,l58,,73,42r43,l81,68r13,42l58,84,22,110,37,68,,42e" filled="f" strokeweight=".45pt">
                    <v:path arrowok="t" o:connecttype="custom" o:connectlocs="0,42;45,42;58,0;73,42;116,42;81,68;94,110;58,84;22,110;37,68;0,42" o:connectangles="0,0,0,0,0,0,0,0,0,0,0"/>
                  </v:shape>
                  <v:shape id="Freeform 80" o:spid="_x0000_s1034" style="position:absolute;left:919;top:1043;width:117;height:110;visibility:visible;mso-wrap-style:square;v-text-anchor:top" coordsize="117,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" path="m,42r45,l59,,72,42r45,l81,68r14,42l59,84,23,110,36,68,,42e" filled="f" strokeweight=".45pt">
                    <v:path arrowok="t" o:connecttype="custom" o:connectlocs="0,42;45,42;59,0;72,42;117,42;81,68;95,110;59,84;23,110;36,68;0,42" o:connectangles="0,0,0,0,0,0,0,0,0,0,0"/>
                  </v:shape>
                  <v:shape id="Freeform 81" o:spid="_x0000_s1035" style="position:absolute;left:752;top:1086;width:115;height:111;visibility:visible;mso-wrap-style:square;v-text-anchor:top" coordsize="1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" path="m,42r44,l57,,70,42r45,l79,70r14,41l57,86,21,111,36,70,,42e" filled="f" strokeweight=".45pt">
                    <v:path arrowok="t" o:connecttype="custom" o:connectlocs="0,42;44,42;57,0;70,42;115,42;79,70;93,111;57,86;21,111;36,70;0,42" o:connectangles="0,0,0,0,0,0,0,0,0,0,0"/>
                  </v:shape>
                  <v:shape id="Freeform 82" o:spid="_x0000_s1036" style="position:absolute;left:583;top:1043;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" path="m,42r45,l58,,72,42r43,l81,68r13,42l58,84,21,110,36,68,,42e" filled="f" strokeweight=".45pt">
                    <v:path arrowok="t" o:connecttype="custom" o:connectlocs="0,42;45,42;58,0;72,42;115,42;81,68;94,110;58,84;21,110;36,68;0,42" o:connectangles="0,0,0,0,0,0,0,0,0,0,0"/>
                  </v:shape>
                  <v:shape id="Freeform 83" o:spid="_x0000_s1037" style="position:absolute;left:459;top:919;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" path="m,42r43,l57,,70,42r45,l79,68r15,42l57,84,21,110,34,68,,42e" filled="f" strokeweight=".45pt">
                    <v:path arrowok="t" o:connecttype="custom" o:connectlocs="0,42;43,42;57,0;70,42;115,42;79,68;94,110;57,84;21,110;34,68;0,42" o:connectangles="0,0,0,0,0,0,0,0,0,0,0"/>
                  </v:shape>
                  <v:shape id="Freeform 84" o:spid="_x0000_s1038" style="position:absolute;left:414;top:751;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" path="m,41r45,l59,,72,41r43,l81,67r13,42l59,83,23,109,36,67,,41e" filled="f" strokeweight=".45pt">
                    <v:path arrowok="t" o:connecttype="custom" o:connectlocs="0,41;45,41;59,0;72,41;115,41;81,67;94,109;59,83;23,109;36,67;0,41" o:connectangles="0,0,0,0,0,0,0,0,0,0,0"/>
                  </v:shape>
                  <v:shape id="Freeform 85" o:spid="_x0000_s1039" style="position:absolute;left:459;top:582;width:115;height:109;visibility:visible;mso-wrap-style:square;v-text-anchor:top" coordsize="115,1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" path="m,42r43,l57,,70,42r45,l79,68r15,41l57,85,21,109,34,68,,42e" filled="f" strokeweight=".45pt">
                    <v:path arrowok="t" o:connecttype="custom" o:connectlocs="0,42;43,42;57,0;70,42;115,42;79,68;94,109;57,85;21,109;34,68;0,42" o:connectangles="0,0,0,0,0,0,0,0,0,0,0"/>
                  </v:shape>
                  <v:shape id="Freeform 86" o:spid="_x0000_s1040" style="position:absolute;left:583;top:458;width:115;height:110;visibility:visible;mso-wrap-style:square;v-text-anchor:top" coordsize="115,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" path="m,42r45,l58,,72,42r43,l81,68r13,42l58,84,21,110,36,68,,42e" filled="f" strokeweight=".45pt">
                    <v:path arrowok="t" o:connecttype="custom" o:connectlocs="0,42;45,42;58,0;72,42;115,42;81,68;94,110;58,84;21,110;36,68;0,42" o:connectangles="0,0,0,0,0,0,0,0,0,0,0"/>
                  </v:shape>
                  <v:shape id="Freeform 87" o:spid="_x0000_s1041" style="position:absolute;left:752;top:413;width:115;height:111;visibility:visible;mso-wrap-style:square;v-text-anchor:top" coordsize="11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" path="m,42r44,l57,,70,42r45,l79,69r14,42l57,85,21,111,36,69,,42e" filled="f" strokeweight=".45pt">
                    <v:path arrowok="t" o:connecttype="custom" o:connectlocs="0,42;44,42;57,0;70,42;115,42;79,69;93,111;57,85;21,111;36,69;0,42" o:connectangles="0,0,0,0,0,0,0,0,0,0,0"/>
                  </v:shape>
                  <v:rect id="Rectangle 88" o:spid="_x0000_s1042" style="position:absolute;left:52;top:301;width:1515;height:10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" filled="f" strokeweight=".65pt"/>
                  <v:rect id="Rectangle 89" o:spid="_x0000_s1043" style="position:absolute;left:14;top:276;width:1590;height:1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" filled="f" strokecolor="white" strokeweight="0"/>
                </v:group>
                <v:rect id="Rectangle 90" o:spid="_x0000_s1044" style="position:absolute;left:10172;top:7123;width:393;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14:paraId="5AAFCFDC" w14:textId="77777777" w:rsidR="00F1538F" w:rsidRDefault="00F1538F" w:rsidP="00E70C65">
                        <w:r>
                          <w:rPr>
                            <w:rFonts w:ascii="Arial" w:hAnsi="Arial" w:cs="Arial"/>
                            <w:color w:val="000000"/>
                            <w:lang w:val="en-US"/>
                          </w:rPr>
                          <w:t xml:space="preserve"> </w:t>
                        </w:r>
                      </w:p>
                    </w:txbxContent>
                  </v:textbox>
                </v:rect>
                <v:rect id="Rectangle 91" o:spid="_x0000_s1045" style="position:absolute;left:11620;top:1796;width:17392;height:274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" filled="f" stroked="f">
                  <v:textbox style="mso-fit-shape-to-text:t" inset="0,0,0,0">
                    <w:txbxContent>
                      <w:p w14:paraId="5EDD2C03" w14:textId="77777777" w:rsidR="00F1538F" w:rsidRDefault="00F1538F" w:rsidP="00E70C65">
                        <w:r>
                          <w:rPr>
                            <w:rFonts w:ascii="Arial" w:hAnsi="Arial" w:cs="Arial"/>
                            <w:color w:val="000000"/>
                            <w:lang w:val="en-US"/>
                          </w:rPr>
                          <w:t>EUROPEAN COMMISSION</w:t>
                        </w:r>
                      </w:p>
                    </w:txbxContent>
                  </v:textbox>
                </v:rect>
                <v:rect id="Rectangle 92" o:spid="_x0000_s1046" style="position:absolute;left:30607;top:1796;width:394;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" filled="f" stroked="f">
                  <v:textbox style="mso-fit-shape-to-text:t" inset="0,0,0,0">
                    <w:txbxContent>
                      <w:p w14:paraId="3178FFDD" w14:textId="77777777" w:rsidR="00F1538F" w:rsidRDefault="00F1538F" w:rsidP="00E70C65">
                        <w:r>
                          <w:rPr>
                            <w:rFonts w:ascii="Arial" w:hAnsi="Arial" w:cs="Arial"/>
                            <w:color w:val="000000"/>
                            <w:lang w:val="en-US"/>
                          </w:rPr>
                          <w:t xml:space="preserve"> </w:t>
                        </w:r>
                      </w:p>
                    </w:txbxContent>
                  </v:textbox>
                </v:rect>
                <v:rect id="Rectangle 93" o:spid="_x0000_s1047" style="position:absolute;left:57429;top:1796;width:394;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" filled="f" stroked="f">
                  <v:textbox style="mso-fit-shape-to-text:t" inset="0,0,0,0">
                    <w:txbxContent>
                      <w:p w14:paraId="5624E67B" w14:textId="77777777" w:rsidR="00F1538F" w:rsidRDefault="00F1538F" w:rsidP="00E70C65">
                        <w:r>
                          <w:rPr>
                            <w:rFonts w:ascii="Arial" w:hAnsi="Arial" w:cs="Arial"/>
                            <w:color w:val="000000"/>
                            <w:lang w:val="en-US"/>
                          </w:rPr>
                          <w:t xml:space="preserve"> </w:t>
                        </w:r>
                      </w:p>
                    </w:txbxContent>
                  </v:textbox>
                </v:rect>
                <v:rect id="Rectangle 94" o:spid="_x0000_s1048" style="position:absolute;left:32512;top:10922;width:7480;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EJIwQAAANsAAAAPAAAAZHJzL2Rvd25yZXYueG1sRI/disIw&#10;FITvBd8hHGHvNLXC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GqIQkjBAAAA2wAAAA8AAAAA&#10;AAAAAAAAAAAABwIAAGRycy9kb3ducmV2LnhtbFBLBQYAAAAAAwADALcAAAD1AgAAAAA=&#10;" filled="f" stroked="f">
                  <v:textbox style="mso-fit-shape-to-text:t" inset="0,0,0,0">
                    <w:txbxContent>
                      <w:p w14:paraId="07B6588E" w14:textId="77777777" w:rsidR="00F1538F" w:rsidRDefault="00F1538F" w:rsidP="00E70C65">
                        <w:r>
                          <w:rPr>
                            <w:color w:val="000000"/>
                            <w:lang w:val="en-US"/>
                          </w:rPr>
                          <w:t>Brussels, XXX</w:t>
                        </w:r>
                      </w:p>
                    </w:txbxContent>
                  </v:textbox>
                </v:rect>
                <v:rect id="Rectangle 95" o:spid="_x0000_s1049" style="position:absolute;left:41738;top:10922;width:31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do8wQAAANsAAAAPAAAAZHJzL2Rvd25yZXYueG1sRI/disIw&#10;FITvBd8hHGHvNLXI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OVh2jzBAAAA2wAAAA8AAAAA&#10;AAAAAAAAAAAABwIAAGRycy9kb3ducmV2LnhtbFBLBQYAAAAAAwADALcAAAD1AgAAAAA=&#10;" filled="f" stroked="f">
                  <v:textbox style="mso-fit-shape-to-text:t" inset="0,0,0,0">
                    <w:txbxContent>
                      <w:p w14:paraId="0FF5E7A8" w14:textId="77777777" w:rsidR="00F1538F" w:rsidRDefault="00F1538F" w:rsidP="00E70C65">
                        <w:r>
                          <w:rPr>
                            <w:color w:val="000000"/>
                            <w:lang w:val="en-US"/>
                          </w:rPr>
                          <w:t xml:space="preserve"> </w:t>
                        </w:r>
                      </w:p>
                    </w:txbxContent>
                  </v:textbox>
                </v:rect>
                <v:rect id="Rectangle 96" o:spid="_x0000_s1050" style="position:absolute;left:32512;top:12674;width:1822;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" filled="f" stroked="f">
                  <v:textbox style="mso-fit-shape-to-text:t" inset="0,0,0,0">
                    <w:txbxContent>
                      <w:p w14:paraId="1B027AFF" w14:textId="77777777" w:rsidR="00F1538F" w:rsidRDefault="00F1538F" w:rsidP="00E70C65">
                        <w:r>
                          <w:rPr>
                            <w:color w:val="0000FF"/>
                            <w:lang w:val="en-US"/>
                          </w:rPr>
                          <w:t>[…]</w:t>
                        </w:r>
                      </w:p>
                    </w:txbxContent>
                  </v:textbox>
                </v:rect>
                <v:rect id="Rectangle 97" o:spid="_x0000_s1051" style="position:absolute;left:35077;top:12674;width:13119;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" filled="f" stroked="f">
                  <v:textbox style="mso-fit-shape-to-text:t" inset="0,0,0,0">
                    <w:txbxContent>
                      <w:p w14:paraId="6B24E2D4" w14:textId="77777777" w:rsidR="00F1538F" w:rsidRDefault="00F1538F" w:rsidP="00E70C65">
                        <w:r>
                          <w:rPr>
                            <w:color w:val="000000"/>
                            <w:lang w:val="en-US"/>
                          </w:rPr>
                          <w:t>(2021) XXX draft</w:t>
                        </w:r>
                      </w:p>
                    </w:txbxContent>
                  </v:textbox>
                </v:rect>
                <v:rect id="Rectangle 98" o:spid="_x0000_s1052" style="position:absolute;left:46056;top:12674;width:31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14:paraId="4C82ADB9" w14:textId="77777777" w:rsidR="00F1538F" w:rsidRDefault="00F1538F" w:rsidP="00E70C65">
                        <w:r>
                          <w:rPr>
                            <w:color w:val="000000"/>
                            <w:lang w:val="en-US"/>
                          </w:rPr>
                          <w:t xml:space="preserve"> </w:t>
                        </w:r>
                      </w:p>
                    </w:txbxContent>
                  </v:textbox>
                </v:rect>
                <v:rect id="Rectangle 99" o:spid="_x0000_s1053" style="position:absolute;left:32512;top:17481;width:317;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14:paraId="044B04DD" w14:textId="77777777" w:rsidR="00F1538F" w:rsidRDefault="00F1538F" w:rsidP="00E70C65">
                        <w:r>
                          <w:rPr>
                            <w:color w:val="000000"/>
                            <w:lang w:val="en-US"/>
                          </w:rPr>
                          <w:t xml:space="preserve"> </w:t>
                        </w:r>
                      </w:p>
                    </w:txbxContent>
                  </v:textbox>
                </v:rect>
                <v:rect id="Rectangle 100" o:spid="_x0000_s1054" style="position:absolute;left:32893;top:17481;width:317;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" filled="f" stroked="f">
                  <v:textbox style="mso-fit-shape-to-text:t" inset="0,0,0,0">
                    <w:txbxContent>
                      <w:p w14:paraId="395D0A05" w14:textId="77777777" w:rsidR="00F1538F" w:rsidRDefault="00F1538F" w:rsidP="00E70C65">
                        <w:r>
                          <w:rPr>
                            <w:color w:val="000000"/>
                            <w:lang w:val="en-US"/>
                          </w:rPr>
                          <w:t xml:space="preserve"> </w:t>
                        </w:r>
                      </w:p>
                    </w:txbxContent>
                  </v:textbox>
                </v:rect>
                <v:rect id="Rectangle 101" o:spid="_x0000_s1055" style="position:absolute;left:7486;top:23050;width:3305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0rivwAAANsAAAAPAAAAZHJzL2Rvd25yZXYueG1sRE9LasMw&#10;EN0XcgcxhexquQ6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Afg0rivwAAANsAAAAPAAAAAAAA&#10;AAAAAAAAAAcCAABkcnMvZG93bnJldi54bWxQSwUGAAAAAAMAAwC3AAAA8wIAAAAA&#10;" filled="f" stroked="f">
                  <v:textbox style="mso-fit-shape-to-text:t" inset="0,0,0,0">
                    <w:txbxContent>
                      <w:p w14:paraId="0E791745" w14:textId="77777777" w:rsidR="00F1538F" w:rsidRDefault="00F1538F" w:rsidP="00E70C65">
                        <w:r>
                          <w:rPr>
                            <w:b/>
                            <w:bCs/>
                            <w:color w:val="000000"/>
                            <w:lang w:val="en-US"/>
                          </w:rPr>
                          <w:t>COMMISSION IMPLEMENTING REGULATION (EU) No …/..</w:t>
                        </w:r>
                      </w:p>
                    </w:txbxContent>
                  </v:textbox>
                </v:rect>
                <v:rect id="Rectangle 102" o:spid="_x0000_s1056" style="position:absolute;left:50323;top:23050;width:318;height:285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14:paraId="46A655B3" w14:textId="77777777" w:rsidR="00F1538F" w:rsidRDefault="00F1538F" w:rsidP="00E70C65">
                        <w:r>
                          <w:rPr>
                            <w:b/>
                            <w:bCs/>
                            <w:color w:val="000000"/>
                            <w:lang w:val="en-US"/>
                          </w:rPr>
                          <w:t xml:space="preserve"> </w:t>
                        </w:r>
                      </w:p>
                    </w:txbxContent>
                  </v:textbox>
                </v:rect>
                <v:rect id="Rectangle 103" o:spid="_x0000_s1057" style="position:absolute;left:26428;top:27095;width:3048;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14:paraId="10C7E7A8" w14:textId="77777777" w:rsidR="00F1538F" w:rsidRDefault="00F1538F" w:rsidP="00E70C65">
                        <w:r>
                          <w:rPr>
                            <w:b/>
                            <w:bCs/>
                            <w:color w:val="000000"/>
                            <w:lang w:val="en-US"/>
                          </w:rPr>
                          <w:t>of [  ]</w:t>
                        </w:r>
                      </w:p>
                    </w:txbxContent>
                  </v:textbox>
                </v:rect>
                <v:rect id="Rectangle 104" o:spid="_x0000_s1058" style="position:absolute;left:31381;top:27095;width:317;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14:paraId="5A6971AE" w14:textId="77777777" w:rsidR="00F1538F" w:rsidRDefault="00F1538F" w:rsidP="00E70C65">
                        <w:r>
                          <w:rPr>
                            <w:b/>
                            <w:bCs/>
                            <w:color w:val="000000"/>
                            <w:lang w:val="en-US"/>
                          </w:rPr>
                          <w:t xml:space="preserve"> </w:t>
                        </w:r>
                      </w:p>
                    </w:txbxContent>
                  </v:textbox>
                </v:rect>
                <v:rect id="Rectangle 105" o:spid="_x0000_s1059" style="position:absolute;left:28105;top:31134;width:317;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14:paraId="047205B6" w14:textId="77777777" w:rsidR="00F1538F" w:rsidRDefault="00F1538F" w:rsidP="00E70C65">
                        <w:r>
                          <w:rPr>
                            <w:b/>
                            <w:bCs/>
                            <w:color w:val="000000"/>
                            <w:lang w:val="en-US"/>
                          </w:rPr>
                          <w:t xml:space="preserve"> </w:t>
                        </w:r>
                      </w:p>
                    </w:txbxContent>
                  </v:textbox>
                </v:rect>
                <v:rect id="Rectangle 106" o:spid="_x0000_s1060" style="position:absolute;left:30105;top:31134;width:317;height:285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14:paraId="0767734D" w14:textId="77777777" w:rsidR="00F1538F" w:rsidRDefault="00F1538F" w:rsidP="00E70C65">
                        <w:r>
                          <w:rPr>
                            <w:b/>
                            <w:bCs/>
                            <w:color w:val="000000"/>
                            <w:lang w:val="en-US"/>
                          </w:rPr>
                          <w:t xml:space="preserve"> </w:t>
                        </w:r>
                      </w:p>
                    </w:txbxContent>
                  </v:textbox>
                </v:rect>
                <w10:anchorlock/>
              </v:group>
            </w:pict>
          </mc:Fallback>
        </mc:AlternateContent>
      </w:r>
      <w:r>
        <w:rPr>
          <w:b/>
          <w:lang w:eastAsia="de-DE"/>
        </w:rPr>
        <w:br w:type="page"/>
      </w:r>
    </w:p>
    <w:p w14:paraId="26BF09B2" w14:textId="122683E8" w:rsidR="000A3A8F" w:rsidRPr="000A3A8F" w:rsidRDefault="000A3A8F" w:rsidP="00E70C65">
      <w:pPr>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lastRenderedPageBreak/>
        <w:t xml:space="preserve">COMMISSION IMPLEMENTING REGULATION (EU) </w:t>
      </w:r>
      <w:r w:rsidR="005A17F8">
        <w:rPr>
          <w:rFonts w:ascii="Times New Roman" w:eastAsia="Times New Roman" w:hAnsi="Times New Roman" w:cs="Times New Roman"/>
          <w:b/>
          <w:bCs/>
          <w:color w:val="000000"/>
          <w:sz w:val="24"/>
          <w:szCs w:val="24"/>
          <w:lang w:eastAsia="en-GB"/>
        </w:rPr>
        <w:t>xxx/xxx</w:t>
      </w:r>
    </w:p>
    <w:p w14:paraId="09E3B866" w14:textId="6A9F1E7D" w:rsidR="000A3A8F" w:rsidRPr="000A3A8F" w:rsidRDefault="000A3A8F" w:rsidP="000A3A8F">
      <w:pPr>
        <w:shd w:val="clear" w:color="auto" w:fill="FFFFFF"/>
        <w:spacing w:before="240" w:after="120" w:line="240" w:lineRule="auto"/>
        <w:jc w:val="center"/>
        <w:rPr>
          <w:rFonts w:ascii="Times New Roman" w:eastAsia="Times New Roman" w:hAnsi="Times New Roman" w:cs="Times New Roman"/>
          <w:b/>
          <w:bCs/>
          <w:color w:val="000000"/>
          <w:sz w:val="24"/>
          <w:szCs w:val="24"/>
          <w:lang w:eastAsia="en-GB"/>
        </w:rPr>
      </w:pPr>
      <w:proofErr w:type="gramStart"/>
      <w:r w:rsidRPr="000A3A8F">
        <w:rPr>
          <w:rFonts w:ascii="Times New Roman" w:eastAsia="Times New Roman" w:hAnsi="Times New Roman" w:cs="Times New Roman"/>
          <w:b/>
          <w:bCs/>
          <w:color w:val="000000"/>
          <w:sz w:val="24"/>
          <w:szCs w:val="24"/>
          <w:lang w:eastAsia="en-GB"/>
        </w:rPr>
        <w:t>of</w:t>
      </w:r>
      <w:proofErr w:type="gramEnd"/>
      <w:r w:rsidRPr="000A3A8F">
        <w:rPr>
          <w:rFonts w:ascii="Times New Roman" w:eastAsia="Times New Roman" w:hAnsi="Times New Roman" w:cs="Times New Roman"/>
          <w:b/>
          <w:bCs/>
          <w:color w:val="000000"/>
          <w:sz w:val="24"/>
          <w:szCs w:val="24"/>
          <w:lang w:eastAsia="en-GB"/>
        </w:rPr>
        <w:t xml:space="preserve"> </w:t>
      </w:r>
      <w:r w:rsidR="005A17F8">
        <w:rPr>
          <w:rFonts w:ascii="Times New Roman" w:eastAsia="Times New Roman" w:hAnsi="Times New Roman" w:cs="Times New Roman"/>
          <w:b/>
          <w:bCs/>
          <w:color w:val="000000"/>
          <w:sz w:val="24"/>
          <w:szCs w:val="24"/>
          <w:lang w:eastAsia="en-GB"/>
        </w:rPr>
        <w:t xml:space="preserve">x xxx </w:t>
      </w:r>
      <w:proofErr w:type="spellStart"/>
      <w:r w:rsidR="005A17F8">
        <w:rPr>
          <w:rFonts w:ascii="Times New Roman" w:eastAsia="Times New Roman" w:hAnsi="Times New Roman" w:cs="Times New Roman"/>
          <w:b/>
          <w:bCs/>
          <w:color w:val="000000"/>
          <w:sz w:val="24"/>
          <w:szCs w:val="24"/>
          <w:lang w:eastAsia="en-GB"/>
        </w:rPr>
        <w:t>xxxx</w:t>
      </w:r>
      <w:proofErr w:type="spellEnd"/>
    </w:p>
    <w:p w14:paraId="0025E684" w14:textId="77777777" w:rsidR="000A3A8F" w:rsidRPr="000A3A8F" w:rsidRDefault="000A3A8F" w:rsidP="000A3A8F">
      <w:pPr>
        <w:shd w:val="clear" w:color="auto" w:fill="FFFFFF"/>
        <w:spacing w:before="240" w:after="120" w:line="240" w:lineRule="auto"/>
        <w:jc w:val="center"/>
        <w:rPr>
          <w:rFonts w:ascii="Times New Roman" w:eastAsia="Times New Roman" w:hAnsi="Times New Roman" w:cs="Times New Roman"/>
          <w:b/>
          <w:bCs/>
          <w:color w:val="000000"/>
          <w:sz w:val="24"/>
          <w:szCs w:val="24"/>
          <w:lang w:eastAsia="en-GB"/>
        </w:rPr>
      </w:pPr>
      <w:proofErr w:type="gramStart"/>
      <w:r w:rsidRPr="000A3A8F">
        <w:rPr>
          <w:rFonts w:ascii="Times New Roman" w:eastAsia="Times New Roman" w:hAnsi="Times New Roman" w:cs="Times New Roman"/>
          <w:b/>
          <w:bCs/>
          <w:color w:val="000000"/>
          <w:sz w:val="24"/>
          <w:szCs w:val="24"/>
          <w:lang w:eastAsia="en-GB"/>
        </w:rPr>
        <w:t>laying</w:t>
      </w:r>
      <w:proofErr w:type="gramEnd"/>
      <w:r w:rsidRPr="000A3A8F">
        <w:rPr>
          <w:rFonts w:ascii="Times New Roman" w:eastAsia="Times New Roman" w:hAnsi="Times New Roman" w:cs="Times New Roman"/>
          <w:b/>
          <w:bCs/>
          <w:color w:val="000000"/>
          <w:sz w:val="24"/>
          <w:szCs w:val="24"/>
          <w:lang w:eastAsia="en-GB"/>
        </w:rPr>
        <w:t xml:space="preserve"> down implementing technical standards with regard to the templates for the submission of information to the supervisory authorities according to Directive 2009/138/EC of the European Parliament and of the Council</w:t>
      </w:r>
      <w:r w:rsidR="00594703" w:rsidRPr="00594703">
        <w:rPr>
          <w:rFonts w:ascii="Times New Roman" w:eastAsia="Times New Roman" w:hAnsi="Times New Roman" w:cs="Times New Roman"/>
          <w:b/>
          <w:bCs/>
          <w:color w:val="000000"/>
          <w:sz w:val="24"/>
          <w:szCs w:val="24"/>
          <w:lang w:eastAsia="en-GB"/>
        </w:rPr>
        <w:t xml:space="preserve"> </w:t>
      </w:r>
      <w:r w:rsidR="00594703">
        <w:rPr>
          <w:rFonts w:ascii="Times New Roman" w:eastAsia="Times New Roman" w:hAnsi="Times New Roman" w:cs="Times New Roman"/>
          <w:b/>
          <w:bCs/>
          <w:color w:val="000000"/>
          <w:sz w:val="24"/>
          <w:szCs w:val="24"/>
          <w:lang w:eastAsia="en-GB"/>
        </w:rPr>
        <w:t>and repealing Implementing Regulation (EU) 2015/2450</w:t>
      </w:r>
    </w:p>
    <w:p w14:paraId="4909180A" w14:textId="77777777" w:rsidR="000A3A8F" w:rsidRPr="000A3A8F" w:rsidRDefault="000A3A8F" w:rsidP="000A3A8F">
      <w:pPr>
        <w:shd w:val="clear" w:color="auto" w:fill="FFFFFF"/>
        <w:spacing w:before="24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(Text with EEA relevance)</w:t>
      </w:r>
    </w:p>
    <w:p w14:paraId="7CEC196A"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THE EUROPEAN COMMISSION,</w:t>
      </w:r>
    </w:p>
    <w:p w14:paraId="0897E14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Having regard to the Treaty on the Functioning of the European Union,</w:t>
      </w:r>
    </w:p>
    <w:p w14:paraId="45AB5975" w14:textId="3D8F3AF2"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Having regard to Directive 2009/138/EC of 25 November 2009 of the European Parliament and of the Council on the taking up and pursuit of the business of Insurance and Reinsurance (Solvency II)</w:t>
      </w:r>
      <w:hyperlink r:id="rId12" w:anchor="ntr1-L_2015347EN.01000101-E0001" w:history="1">
        <w:r w:rsidRPr="000A3A8F">
          <w:rPr>
            <w:rFonts w:ascii="inherit" w:eastAsia="Times New Roman" w:hAnsi="inherit" w:cs="Times New Roman"/>
            <w:color w:val="3366CC"/>
            <w:sz w:val="24"/>
            <w:szCs w:val="24"/>
            <w:lang w:eastAsia="en-GB"/>
          </w:rPr>
          <w:t> (</w:t>
        </w:r>
        <w:r w:rsidR="00B20E35">
          <w:rPr>
            <w:rStyle w:val="FootnoteReference"/>
            <w:rFonts w:ascii="inherit" w:eastAsia="Times New Roman" w:hAnsi="inherit" w:cs="Times New Roman"/>
            <w:color w:val="3366CC"/>
            <w:sz w:val="24"/>
            <w:szCs w:val="24"/>
            <w:lang w:eastAsia="en-GB"/>
          </w:rPr>
          <w:footnoteReference w:id="1"/>
        </w:r>
        <w:r w:rsidRPr="000A3A8F">
          <w:rPr>
            <w:rFonts w:ascii="inherit" w:eastAsia="Times New Roman" w:hAnsi="inherit" w:cs="Times New Roman"/>
            <w:color w:val="3366CC"/>
            <w:sz w:val="24"/>
            <w:szCs w:val="24"/>
            <w:lang w:eastAsia="en-GB"/>
          </w:rPr>
          <w:t>)</w:t>
        </w:r>
      </w:hyperlink>
      <w:r w:rsidRPr="000A3A8F">
        <w:rPr>
          <w:rFonts w:ascii="Times New Roman" w:eastAsia="Times New Roman" w:hAnsi="Times New Roman" w:cs="Times New Roman"/>
          <w:color w:val="000000"/>
          <w:sz w:val="24"/>
          <w:szCs w:val="24"/>
          <w:lang w:eastAsia="en-GB"/>
        </w:rPr>
        <w:t>, and in particular the third subparagraph of Article 35(10), the third subparagraph of Article 244(6) and the second subparagraph of Article 245(6) thereof,</w:t>
      </w:r>
    </w:p>
    <w:p w14:paraId="448DF0F5" w14:textId="77777777" w:rsidR="00CF75B8" w:rsidRDefault="000A3A8F"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Whereas:</w:t>
      </w:r>
      <w:r w:rsidR="00CF75B8" w:rsidRPr="00CF75B8">
        <w:rPr>
          <w:rFonts w:ascii="inherit" w:eastAsia="Times New Roman" w:hAnsi="inherit" w:cs="Times New Roman"/>
          <w:color w:val="000000"/>
          <w:sz w:val="24"/>
          <w:szCs w:val="24"/>
          <w:lang w:eastAsia="en-GB"/>
        </w:rPr>
        <w:t xml:space="preserve"> </w:t>
      </w:r>
    </w:p>
    <w:p w14:paraId="5993BB76" w14:textId="3E998DD9" w:rsidR="000A3A8F" w:rsidRPr="00CF75B8" w:rsidRDefault="00CF75B8" w:rsidP="00CF75B8">
      <w:pPr>
        <w:pStyle w:val="ListParagraph"/>
        <w:numPr>
          <w:ilvl w:val="0"/>
          <w:numId w:val="11"/>
        </w:numPr>
        <w:shd w:val="clear" w:color="auto" w:fill="FFFFFF"/>
        <w:spacing w:before="120" w:after="0" w:line="240" w:lineRule="auto"/>
        <w:ind w:left="426" w:hanging="426"/>
        <w:jc w:val="both"/>
        <w:rPr>
          <w:rFonts w:ascii="inherit" w:eastAsia="Times New Roman" w:hAnsi="inherit" w:cs="Times New Roman"/>
          <w:color w:val="000000"/>
          <w:sz w:val="24"/>
          <w:szCs w:val="24"/>
          <w:lang w:eastAsia="en-GB"/>
        </w:rPr>
      </w:pPr>
      <w:r w:rsidRPr="00CF75B8">
        <w:rPr>
          <w:rFonts w:ascii="inherit" w:eastAsia="Times New Roman" w:hAnsi="inherit" w:cs="Times New Roman"/>
          <w:color w:val="000000"/>
          <w:sz w:val="24"/>
          <w:szCs w:val="24"/>
          <w:lang w:eastAsia="en-GB"/>
        </w:rPr>
        <w:t>For the purposes of facilitating effective supervision of insurance and reinsurance undertakings, it is appropriate to establish the templates for the submission of information referred to in Article 35(1) and (2) of Directive 2009/138/EC for individual undertakings and in Article 244(2) and Article 245(2) of that Directive for groups to the supervisory authorities.</w:t>
      </w:r>
    </w:p>
    <w:p w14:paraId="6A50EA58" w14:textId="5477C0FC" w:rsidR="00CF75B8" w:rsidRPr="00CF75B8" w:rsidRDefault="00CF75B8" w:rsidP="00CF75B8">
      <w:pPr>
        <w:pStyle w:val="ListParagraph"/>
        <w:numPr>
          <w:ilvl w:val="0"/>
          <w:numId w:val="11"/>
        </w:numPr>
        <w:shd w:val="clear" w:color="auto" w:fill="FFFFFF"/>
        <w:spacing w:before="120" w:after="0" w:line="240" w:lineRule="auto"/>
        <w:ind w:left="426" w:hanging="426"/>
        <w:jc w:val="both"/>
        <w:rPr>
          <w:rFonts w:ascii="Times New Roman" w:eastAsia="Times New Roman" w:hAnsi="Times New Roman" w:cs="Times New Roman"/>
          <w:color w:val="000000"/>
          <w:sz w:val="24"/>
          <w:szCs w:val="24"/>
          <w:lang w:eastAsia="en-GB"/>
        </w:rPr>
      </w:pPr>
      <w:r w:rsidRPr="000A3A8F">
        <w:rPr>
          <w:rFonts w:ascii="inherit" w:eastAsia="Times New Roman" w:hAnsi="inherit" w:cs="Times New Roman"/>
          <w:color w:val="000000"/>
          <w:sz w:val="24"/>
          <w:szCs w:val="24"/>
          <w:lang w:eastAsia="en-GB"/>
        </w:rPr>
        <w:t>An adequate level of detail of the information to be submitted is crucial for a proper implementation of a risk-based supervisory review process. The templates are a visual representation of the information to be reported and specify the level of detail of that information.</w:t>
      </w:r>
    </w:p>
    <w:p w14:paraId="11335F90" w14:textId="6DC54320" w:rsidR="00CF75B8" w:rsidRPr="00CF75B8" w:rsidRDefault="00CF75B8" w:rsidP="00CF75B8">
      <w:pPr>
        <w:pStyle w:val="ListParagraph"/>
        <w:numPr>
          <w:ilvl w:val="0"/>
          <w:numId w:val="11"/>
        </w:numPr>
        <w:shd w:val="clear" w:color="auto" w:fill="FFFFFF"/>
        <w:spacing w:before="120" w:after="0" w:line="240" w:lineRule="auto"/>
        <w:ind w:left="426" w:hanging="426"/>
        <w:jc w:val="both"/>
        <w:rPr>
          <w:rFonts w:ascii="Times New Roman" w:eastAsia="Times New Roman" w:hAnsi="Times New Roman" w:cs="Times New Roman"/>
          <w:color w:val="000000"/>
          <w:sz w:val="24"/>
          <w:szCs w:val="24"/>
          <w:lang w:eastAsia="en-GB"/>
        </w:rPr>
      </w:pPr>
      <w:r w:rsidRPr="000A3A8F">
        <w:rPr>
          <w:rFonts w:ascii="inherit" w:eastAsia="Times New Roman" w:hAnsi="inherit" w:cs="Times New Roman"/>
          <w:color w:val="000000"/>
          <w:sz w:val="24"/>
          <w:szCs w:val="24"/>
          <w:lang w:eastAsia="en-GB"/>
        </w:rPr>
        <w:t>The harmonisation of the templates to be used when submitting information to supervisory authorities is an essential instrument to promote supervisory convergence. For this reason the information to be reported in accordance with Directive 2009/138/EC should be submitted as specified in the templates provided for by this Regulation.</w:t>
      </w:r>
    </w:p>
    <w:p w14:paraId="43AD0561" w14:textId="1C0979A8" w:rsidR="00CF75B8" w:rsidRPr="00CF75B8" w:rsidRDefault="00CF75B8" w:rsidP="00CF75B8">
      <w:pPr>
        <w:pStyle w:val="ListParagraph"/>
        <w:numPr>
          <w:ilvl w:val="0"/>
          <w:numId w:val="11"/>
        </w:numPr>
        <w:shd w:val="clear" w:color="auto" w:fill="FFFFFF"/>
        <w:spacing w:before="120" w:after="0" w:line="240" w:lineRule="auto"/>
        <w:ind w:left="426" w:hanging="426"/>
        <w:jc w:val="both"/>
        <w:rPr>
          <w:rFonts w:ascii="Times New Roman" w:eastAsia="Times New Roman" w:hAnsi="Times New Roman" w:cs="Times New Roman"/>
          <w:color w:val="000000"/>
          <w:sz w:val="24"/>
          <w:szCs w:val="24"/>
          <w:lang w:eastAsia="en-GB"/>
        </w:rPr>
      </w:pPr>
      <w:r w:rsidRPr="000A3A8F">
        <w:rPr>
          <w:rFonts w:ascii="inherit" w:eastAsia="Times New Roman" w:hAnsi="inherit" w:cs="Times New Roman"/>
          <w:color w:val="000000"/>
          <w:sz w:val="24"/>
          <w:szCs w:val="24"/>
          <w:lang w:eastAsia="en-GB"/>
        </w:rPr>
        <w:t>In practice, the information will be reported in electronic form as set out in Article 313 of Commission Delegated Regulation (EU) 2015/35</w:t>
      </w:r>
      <w:hyperlink r:id="rId13" w:anchor="ntr2-L_2015347EN.01000101-E0002" w:history="1">
        <w:r w:rsidRPr="000A3A8F">
          <w:rPr>
            <w:rFonts w:ascii="inherit" w:eastAsia="Times New Roman" w:hAnsi="inherit" w:cs="Times New Roman"/>
            <w:color w:val="3366CC"/>
            <w:sz w:val="24"/>
            <w:szCs w:val="24"/>
            <w:lang w:eastAsia="en-GB"/>
          </w:rPr>
          <w:t>(</w:t>
        </w:r>
        <w:r w:rsidR="00B20E35">
          <w:rPr>
            <w:rStyle w:val="FootnoteReference"/>
            <w:rFonts w:ascii="inherit" w:eastAsia="Times New Roman" w:hAnsi="inherit" w:cs="Times New Roman"/>
            <w:color w:val="3366CC"/>
            <w:sz w:val="24"/>
            <w:szCs w:val="24"/>
            <w:lang w:eastAsia="en-GB"/>
          </w:rPr>
          <w:footnoteReference w:id="2"/>
        </w:r>
        <w:r w:rsidRPr="000A3A8F">
          <w:rPr>
            <w:rFonts w:ascii="inherit" w:eastAsia="Times New Roman" w:hAnsi="inherit" w:cs="Times New Roman"/>
            <w:color w:val="3366CC"/>
            <w:sz w:val="24"/>
            <w:szCs w:val="24"/>
            <w:lang w:eastAsia="en-GB"/>
          </w:rPr>
          <w:t>)</w:t>
        </w:r>
      </w:hyperlink>
      <w:r w:rsidRPr="000A3A8F">
        <w:rPr>
          <w:rFonts w:ascii="inherit" w:eastAsia="Times New Roman" w:hAnsi="inherit" w:cs="Times New Roman"/>
          <w:color w:val="000000"/>
          <w:sz w:val="24"/>
          <w:szCs w:val="24"/>
          <w:lang w:eastAsia="en-GB"/>
        </w:rPr>
        <w:t>.</w:t>
      </w:r>
    </w:p>
    <w:p w14:paraId="0194E2DE" w14:textId="77777777" w:rsidR="00CF75B8" w:rsidRPr="00CF75B8" w:rsidRDefault="00CF75B8" w:rsidP="00CF75B8">
      <w:pPr>
        <w:pStyle w:val="ListParagraph"/>
        <w:numPr>
          <w:ilvl w:val="0"/>
          <w:numId w:val="11"/>
        </w:numPr>
        <w:spacing w:before="120" w:after="0" w:line="240" w:lineRule="auto"/>
        <w:ind w:left="426" w:hanging="426"/>
        <w:jc w:val="both"/>
        <w:rPr>
          <w:rFonts w:ascii="inherit" w:eastAsia="Times New Roman" w:hAnsi="inherit" w:cs="Times New Roman"/>
          <w:color w:val="000000"/>
          <w:sz w:val="24"/>
          <w:szCs w:val="24"/>
          <w:lang w:eastAsia="en-GB"/>
        </w:rPr>
      </w:pPr>
      <w:r w:rsidRPr="00CF75B8">
        <w:rPr>
          <w:rFonts w:ascii="inherit" w:eastAsia="Times New Roman" w:hAnsi="inherit" w:cs="Times New Roman"/>
          <w:color w:val="000000"/>
          <w:sz w:val="24"/>
          <w:szCs w:val="24"/>
          <w:lang w:eastAsia="en-GB"/>
        </w:rPr>
        <w:t xml:space="preserve">Insurance and reinsurance undertakings and groups should only submit the information applicable for their business. For example, certain options provided for by Directive 2009/138/EC, like the use of the matching adjustment for the calculation of the technical provisions or the use of a full or partial internal model or of underwriting-specific parameters for the calculation of the solvency capital requirement, affect the scope of the information to be submitted. In most cases, only a subset of the templates provided for in </w:t>
      </w:r>
      <w:r w:rsidRPr="00CF75B8">
        <w:rPr>
          <w:rFonts w:ascii="inherit" w:eastAsia="Times New Roman" w:hAnsi="inherit" w:cs="Times New Roman"/>
          <w:color w:val="000000"/>
          <w:sz w:val="24"/>
          <w:szCs w:val="24"/>
          <w:lang w:eastAsia="en-GB"/>
        </w:rPr>
        <w:lastRenderedPageBreak/>
        <w:t>this Regulation should be submitted, as not all the templates are applicable for all undertakings.</w:t>
      </w:r>
    </w:p>
    <w:p w14:paraId="5605F80B" w14:textId="6EF70A5C" w:rsidR="00CF75B8" w:rsidRPr="00CF75B8" w:rsidRDefault="00CF75B8" w:rsidP="00553D84">
      <w:pPr>
        <w:pStyle w:val="ListParagraph"/>
        <w:numPr>
          <w:ilvl w:val="0"/>
          <w:numId w:val="11"/>
        </w:numPr>
        <w:shd w:val="clear" w:color="auto" w:fill="FFFFFF"/>
        <w:spacing w:before="120" w:after="0" w:line="240" w:lineRule="auto"/>
        <w:ind w:left="426" w:hanging="426"/>
        <w:jc w:val="both"/>
        <w:rPr>
          <w:rFonts w:ascii="Times New Roman" w:eastAsia="Times New Roman" w:hAnsi="Times New Roman" w:cs="Times New Roman"/>
          <w:color w:val="000000"/>
          <w:sz w:val="24"/>
          <w:szCs w:val="24"/>
          <w:lang w:eastAsia="en-GB"/>
        </w:rPr>
      </w:pPr>
      <w:r w:rsidRPr="00EC0E08">
        <w:rPr>
          <w:rFonts w:ascii="inherit" w:eastAsia="Times New Roman" w:hAnsi="inherit" w:cs="Times New Roman"/>
          <w:color w:val="000000"/>
          <w:sz w:val="24"/>
          <w:szCs w:val="24"/>
          <w:lang w:eastAsia="en-GB"/>
        </w:rPr>
        <w:t>In order to keep the reporting requirements fit-for-purpose</w:t>
      </w:r>
      <w:r w:rsidRPr="007B7D53">
        <w:rPr>
          <w:rFonts w:ascii="inherit" w:eastAsia="Times New Roman" w:hAnsi="inherit" w:cs="Times New Roman"/>
          <w:color w:val="000000"/>
          <w:sz w:val="24"/>
          <w:szCs w:val="24"/>
          <w:lang w:eastAsia="en-GB"/>
        </w:rPr>
        <w:t xml:space="preserve"> and proportionate it is necessary to revise the Commission Implementing Regulation (EU)</w:t>
      </w:r>
      <w:r w:rsidRPr="00CF75B8">
        <w:rPr>
          <w:rFonts w:ascii="inherit" w:eastAsia="Times New Roman" w:hAnsi="inherit" w:cs="Times New Roman"/>
          <w:color w:val="000000"/>
          <w:sz w:val="24"/>
          <w:szCs w:val="24"/>
          <w:lang w:eastAsia="en-GB"/>
        </w:rPr>
        <w:t xml:space="preserve"> </w:t>
      </w:r>
      <w:r w:rsidRPr="007B7D53">
        <w:rPr>
          <w:rFonts w:ascii="inherit" w:eastAsia="Times New Roman" w:hAnsi="inherit" w:cs="Times New Roman"/>
          <w:color w:val="000000"/>
          <w:sz w:val="24"/>
          <w:szCs w:val="24"/>
          <w:lang w:eastAsia="en-GB"/>
        </w:rPr>
        <w:t>2015/2450</w:t>
      </w:r>
      <w:r w:rsidR="008E25B1">
        <w:rPr>
          <w:rFonts w:ascii="inherit" w:eastAsia="Times New Roman" w:hAnsi="inherit" w:cs="Times New Roman"/>
          <w:color w:val="000000"/>
          <w:sz w:val="24"/>
          <w:szCs w:val="24"/>
          <w:lang w:eastAsia="en-GB"/>
        </w:rPr>
        <w:t xml:space="preserve"> (</w:t>
      </w:r>
      <w:r w:rsidR="00AE5D55">
        <w:rPr>
          <w:rStyle w:val="FootnoteReference"/>
          <w:rFonts w:ascii="inherit" w:eastAsia="Times New Roman" w:hAnsi="inherit" w:cs="Times New Roman"/>
          <w:color w:val="000000"/>
          <w:sz w:val="24"/>
          <w:szCs w:val="24"/>
          <w:lang w:eastAsia="en-GB"/>
        </w:rPr>
        <w:footnoteReference w:id="3"/>
      </w:r>
      <w:r w:rsidR="008E25B1">
        <w:rPr>
          <w:rFonts w:ascii="inherit" w:eastAsia="Times New Roman" w:hAnsi="inherit" w:cs="Times New Roman"/>
          <w:color w:val="000000"/>
          <w:sz w:val="24"/>
          <w:szCs w:val="24"/>
          <w:lang w:eastAsia="en-GB"/>
        </w:rPr>
        <w:t>)</w:t>
      </w:r>
      <w:r w:rsidRPr="007B7D53">
        <w:rPr>
          <w:rFonts w:ascii="inherit" w:eastAsia="Times New Roman" w:hAnsi="inherit" w:cs="Times New Roman"/>
          <w:color w:val="000000"/>
          <w:sz w:val="24"/>
          <w:szCs w:val="24"/>
          <w:lang w:eastAsia="en-GB"/>
        </w:rPr>
        <w:t xml:space="preserve"> </w:t>
      </w:r>
      <w:r w:rsidRPr="00CF75B8">
        <w:rPr>
          <w:rFonts w:ascii="inherit" w:eastAsia="Times New Roman" w:hAnsi="inherit" w:cs="Times New Roman"/>
          <w:color w:val="000000"/>
          <w:sz w:val="24"/>
          <w:szCs w:val="24"/>
          <w:lang w:eastAsia="en-GB"/>
        </w:rPr>
        <w:t xml:space="preserve">so as to </w:t>
      </w:r>
      <w:r w:rsidRPr="007B7D53">
        <w:rPr>
          <w:rFonts w:ascii="inherit" w:eastAsia="Times New Roman" w:hAnsi="inherit" w:cs="Times New Roman"/>
          <w:color w:val="000000"/>
          <w:sz w:val="24"/>
          <w:szCs w:val="24"/>
          <w:lang w:eastAsia="en-GB"/>
        </w:rPr>
        <w:t>include new reporting templates and remove obsolete ones, to clarify and simplify the instructions for the templates, and to revise the existing and introduce new reporting risk-based thresholds.</w:t>
      </w:r>
    </w:p>
    <w:p w14:paraId="2812F62C" w14:textId="40643F1A" w:rsidR="00CF75B8" w:rsidRPr="00CF75B8" w:rsidRDefault="00CF75B8" w:rsidP="00CF75B8">
      <w:pPr>
        <w:pStyle w:val="ListParagraph"/>
        <w:numPr>
          <w:ilvl w:val="0"/>
          <w:numId w:val="11"/>
        </w:numPr>
        <w:shd w:val="clear" w:color="auto" w:fill="FFFFFF"/>
        <w:spacing w:before="120" w:after="0" w:line="240" w:lineRule="auto"/>
        <w:ind w:left="426" w:hanging="426"/>
        <w:jc w:val="both"/>
        <w:rPr>
          <w:rFonts w:ascii="Times New Roman" w:eastAsia="Times New Roman" w:hAnsi="Times New Roman" w:cs="Times New Roman"/>
          <w:color w:val="000000"/>
          <w:sz w:val="24"/>
          <w:szCs w:val="24"/>
          <w:lang w:eastAsia="en-GB"/>
        </w:rPr>
      </w:pPr>
      <w:r w:rsidRPr="007B7D53">
        <w:rPr>
          <w:rFonts w:ascii="inherit" w:eastAsia="Times New Roman" w:hAnsi="inherit" w:cs="Times New Roman"/>
          <w:color w:val="000000"/>
          <w:sz w:val="24"/>
          <w:szCs w:val="24"/>
          <w:lang w:eastAsia="en-GB"/>
        </w:rPr>
        <w:t>Furthermore, considering the specific nature of captive insurance and captive reinsurance undertakings, it is appropriate to provide for specific arrangements for those undertakings, with reporting requirements adjusted to the nature, scale and complexity of their business and taking account of the different business models, and with a clearly defined scope of reporting from a risk perspective.</w:t>
      </w:r>
    </w:p>
    <w:p w14:paraId="60D5A521" w14:textId="77185387" w:rsidR="00CF75B8" w:rsidRPr="00CF75B8" w:rsidRDefault="00CF75B8" w:rsidP="00CF75B8">
      <w:pPr>
        <w:pStyle w:val="ListParagraph"/>
        <w:numPr>
          <w:ilvl w:val="0"/>
          <w:numId w:val="11"/>
        </w:numPr>
        <w:shd w:val="clear" w:color="auto" w:fill="FFFFFF"/>
        <w:spacing w:before="120" w:after="0" w:line="240" w:lineRule="auto"/>
        <w:ind w:left="426" w:hanging="426"/>
        <w:jc w:val="both"/>
        <w:rPr>
          <w:rFonts w:ascii="Times New Roman" w:eastAsia="Times New Roman" w:hAnsi="Times New Roman" w:cs="Times New Roman"/>
          <w:color w:val="000000"/>
          <w:sz w:val="24"/>
          <w:szCs w:val="24"/>
          <w:lang w:eastAsia="en-GB"/>
        </w:rPr>
      </w:pPr>
      <w:r w:rsidRPr="007B7D53">
        <w:rPr>
          <w:rFonts w:ascii="inherit" w:eastAsia="Times New Roman" w:hAnsi="inherit" w:cs="Times New Roman"/>
          <w:color w:val="000000"/>
          <w:sz w:val="24"/>
          <w:szCs w:val="24"/>
          <w:lang w:eastAsia="en-GB"/>
        </w:rPr>
        <w:t>Commission Implementing Regulation (EU) 2015/2450</w:t>
      </w:r>
      <w:r w:rsidR="008E25B1">
        <w:t xml:space="preserve"> </w:t>
      </w:r>
      <w:r w:rsidRPr="007B7D53">
        <w:rPr>
          <w:rFonts w:ascii="inherit" w:eastAsia="Times New Roman" w:hAnsi="inherit" w:cs="Times New Roman"/>
          <w:color w:val="000000"/>
          <w:sz w:val="24"/>
          <w:szCs w:val="24"/>
          <w:lang w:eastAsia="en-GB"/>
        </w:rPr>
        <w:t>should therefore be repealed.</w:t>
      </w:r>
    </w:p>
    <w:p w14:paraId="3D54A1D4" w14:textId="7EA1F110" w:rsidR="00CF75B8" w:rsidRPr="00CF75B8" w:rsidRDefault="00CF75B8" w:rsidP="00CF75B8">
      <w:pPr>
        <w:pStyle w:val="ListParagraph"/>
        <w:numPr>
          <w:ilvl w:val="0"/>
          <w:numId w:val="11"/>
        </w:numPr>
        <w:shd w:val="clear" w:color="auto" w:fill="FFFFFF"/>
        <w:spacing w:before="120" w:after="0" w:line="240" w:lineRule="auto"/>
        <w:ind w:left="426" w:hanging="426"/>
        <w:jc w:val="both"/>
        <w:rPr>
          <w:rFonts w:ascii="Times New Roman" w:eastAsia="Times New Roman" w:hAnsi="Times New Roman" w:cs="Times New Roman"/>
          <w:color w:val="000000"/>
          <w:sz w:val="24"/>
          <w:szCs w:val="24"/>
          <w:lang w:eastAsia="en-GB"/>
        </w:rPr>
      </w:pPr>
      <w:r w:rsidRPr="000A3A8F">
        <w:rPr>
          <w:rFonts w:ascii="inherit" w:eastAsia="Times New Roman" w:hAnsi="inherit" w:cs="Times New Roman"/>
          <w:color w:val="000000"/>
          <w:sz w:val="24"/>
          <w:szCs w:val="24"/>
          <w:lang w:eastAsia="en-GB"/>
        </w:rPr>
        <w:t>The provisions of this Regulation are closely linked to each other, since they all deal with the submission of information from insurance and reinsurance undertakings and groups to the supervisory authorities. To ensure coherence between those provisions, which should enter into force at the same time, to facilitate a comprehensive understanding of those provisions and to ensure easy access to them by persons subject to the reporting obligations, including investors not established in the Union, it is desirable to include all the implementing technical standards required by Article 35(10), Article 244(6) and Article 245(6) of Directive 2009/138/EC in a single Regulation.</w:t>
      </w:r>
    </w:p>
    <w:p w14:paraId="2E505382" w14:textId="77777777" w:rsidR="00CF75B8" w:rsidRPr="00CF75B8" w:rsidRDefault="00CF75B8" w:rsidP="00CF75B8">
      <w:pPr>
        <w:pStyle w:val="ListParagraph"/>
        <w:numPr>
          <w:ilvl w:val="0"/>
          <w:numId w:val="11"/>
        </w:numPr>
        <w:spacing w:before="120" w:after="0" w:line="240" w:lineRule="auto"/>
        <w:ind w:left="426" w:hanging="426"/>
        <w:jc w:val="both"/>
        <w:rPr>
          <w:rFonts w:ascii="inherit" w:eastAsia="Times New Roman" w:hAnsi="inherit" w:cs="Times New Roman"/>
          <w:color w:val="000000"/>
          <w:sz w:val="24"/>
          <w:szCs w:val="24"/>
          <w:lang w:eastAsia="en-GB"/>
        </w:rPr>
      </w:pPr>
      <w:r w:rsidRPr="00CF75B8">
        <w:rPr>
          <w:rFonts w:ascii="inherit" w:eastAsia="Times New Roman" w:hAnsi="inherit" w:cs="Times New Roman"/>
          <w:color w:val="000000"/>
          <w:sz w:val="24"/>
          <w:szCs w:val="24"/>
          <w:lang w:eastAsia="en-GB"/>
        </w:rPr>
        <w:t>This Regulation is based on the draft implementing technical standards submitted by the European Insurance and Occupational Pensions Authority to the Commission.</w:t>
      </w:r>
    </w:p>
    <w:p w14:paraId="25A9E2C2" w14:textId="328CD2F6" w:rsidR="00CF75B8" w:rsidRPr="00CF75B8" w:rsidRDefault="00CF75B8" w:rsidP="00CF75B8">
      <w:pPr>
        <w:pStyle w:val="ListParagraph"/>
        <w:numPr>
          <w:ilvl w:val="0"/>
          <w:numId w:val="11"/>
        </w:numPr>
        <w:shd w:val="clear" w:color="auto" w:fill="FFFFFF"/>
        <w:spacing w:before="120" w:after="0" w:line="240" w:lineRule="auto"/>
        <w:ind w:left="426" w:hanging="426"/>
        <w:jc w:val="both"/>
        <w:rPr>
          <w:rFonts w:ascii="Times New Roman" w:eastAsia="Times New Roman" w:hAnsi="Times New Roman" w:cs="Times New Roman"/>
          <w:color w:val="000000"/>
          <w:sz w:val="24"/>
          <w:szCs w:val="24"/>
          <w:lang w:eastAsia="en-GB"/>
        </w:rPr>
      </w:pPr>
      <w:r w:rsidRPr="000A3A8F">
        <w:rPr>
          <w:rFonts w:ascii="inherit" w:eastAsia="Times New Roman" w:hAnsi="inherit" w:cs="Times New Roman"/>
          <w:color w:val="000000"/>
          <w:sz w:val="24"/>
          <w:szCs w:val="24"/>
          <w:lang w:eastAsia="en-GB"/>
        </w:rPr>
        <w:t>The European Insurance and Occupational Pensions Authority has conducted open public consultations on the draft implementing technical standards on which this Regulation is based, analysed the potential related costs and benefits and requested the opinion of the Insurance and Reinsurance Stakeholder Group established in accordance with Article 37 of Regulation (EU) No 1094/2010 of the European Parliament and of the Council</w:t>
      </w:r>
      <w:hyperlink r:id="rId14" w:anchor="ntr3-L_2015347EN.01000101-E0003" w:history="1">
        <w:r w:rsidRPr="000A3A8F">
          <w:rPr>
            <w:rFonts w:ascii="inherit" w:eastAsia="Times New Roman" w:hAnsi="inherit" w:cs="Times New Roman"/>
            <w:color w:val="3366CC"/>
            <w:sz w:val="24"/>
            <w:szCs w:val="24"/>
            <w:lang w:eastAsia="en-GB"/>
          </w:rPr>
          <w:t> (</w:t>
        </w:r>
        <w:r w:rsidR="008448A3">
          <w:rPr>
            <w:rStyle w:val="FootnoteReference"/>
            <w:rFonts w:ascii="inherit" w:eastAsia="Times New Roman" w:hAnsi="inherit" w:cs="Times New Roman"/>
            <w:color w:val="3366CC"/>
            <w:sz w:val="24"/>
            <w:szCs w:val="24"/>
            <w:lang w:eastAsia="en-GB"/>
          </w:rPr>
          <w:footnoteReference w:id="4"/>
        </w:r>
        <w:r w:rsidRPr="000A3A8F">
          <w:rPr>
            <w:rFonts w:ascii="inherit" w:eastAsia="Times New Roman" w:hAnsi="inherit" w:cs="Times New Roman"/>
            <w:color w:val="3366CC"/>
            <w:sz w:val="24"/>
            <w:szCs w:val="24"/>
            <w:lang w:eastAsia="en-GB"/>
          </w:rPr>
          <w:t>)</w:t>
        </w:r>
      </w:hyperlink>
      <w:r w:rsidRPr="000A3A8F">
        <w:rPr>
          <w:rFonts w:ascii="inherit" w:eastAsia="Times New Roman" w:hAnsi="inherit" w:cs="Times New Roman"/>
          <w:color w:val="000000"/>
          <w:sz w:val="24"/>
          <w:szCs w:val="24"/>
          <w:lang w:eastAsia="en-GB"/>
        </w:rPr>
        <w:t>.</w:t>
      </w:r>
    </w:p>
    <w:p w14:paraId="275DA6B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HAS ADOPTED THIS REGULATION:</w:t>
      </w:r>
    </w:p>
    <w:p w14:paraId="4ED15514" w14:textId="77777777" w:rsidR="000A3A8F" w:rsidRPr="000A3A8F" w:rsidRDefault="000A3A8F" w:rsidP="000A3A8F">
      <w:pPr>
        <w:shd w:val="clear" w:color="auto" w:fill="FFFFFF"/>
        <w:spacing w:before="480" w:after="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CHAPTER I</w:t>
      </w:r>
    </w:p>
    <w:p w14:paraId="4FB9CC9C" w14:textId="77777777" w:rsidR="000A3A8F" w:rsidRPr="000A3A8F" w:rsidRDefault="000A3A8F" w:rsidP="000A3A8F">
      <w:pPr>
        <w:shd w:val="clear" w:color="auto" w:fill="FFFFFF"/>
        <w:spacing w:before="75" w:after="120" w:line="240" w:lineRule="auto"/>
        <w:jc w:val="center"/>
        <w:rPr>
          <w:rFonts w:ascii="Times New Roman" w:eastAsia="Times New Roman" w:hAnsi="Times New Roman" w:cs="Times New Roman"/>
          <w:b/>
          <w:bCs/>
          <w:color w:val="000000"/>
          <w:sz w:val="24"/>
          <w:szCs w:val="24"/>
          <w:lang w:eastAsia="en-GB"/>
        </w:rPr>
      </w:pPr>
      <w:r w:rsidRPr="000A3A8F">
        <w:rPr>
          <w:rFonts w:ascii="inherit" w:eastAsia="Times New Roman" w:hAnsi="inherit" w:cs="Times New Roman"/>
          <w:b/>
          <w:bCs/>
          <w:color w:val="000000"/>
          <w:sz w:val="24"/>
          <w:szCs w:val="24"/>
          <w:lang w:eastAsia="en-GB"/>
        </w:rPr>
        <w:t>GENERAL PROVISIONS AND SUPERVISORY REPORTING REQUIREMENTS</w:t>
      </w:r>
    </w:p>
    <w:p w14:paraId="25EB6F8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w:t>
      </w:r>
    </w:p>
    <w:p w14:paraId="5422C611"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Subject matter</w:t>
      </w:r>
    </w:p>
    <w:p w14:paraId="5515583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This Regulation lays down implementing technical standards on regular supervisory reporting by establishing the templates for the submission of information to the supervisory authorities referred to in Article 35(1) and (2) of Directive 2009/138/EC for individual insurance and reinsurance undertakings and in Article 244(2) and Article 245(2) of Directive 2009/138/EC for groups.</w:t>
      </w:r>
    </w:p>
    <w:p w14:paraId="2EE5E7E2" w14:textId="77777777" w:rsidR="0053489F" w:rsidRDefault="0053489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 xml:space="preserve">Article </w:t>
      </w:r>
      <w:r w:rsidR="002C3FFF">
        <w:rPr>
          <w:rFonts w:ascii="Times New Roman" w:eastAsia="Times New Roman" w:hAnsi="Times New Roman" w:cs="Times New Roman"/>
          <w:i/>
          <w:iCs/>
          <w:color w:val="000000"/>
          <w:sz w:val="24"/>
          <w:szCs w:val="24"/>
          <w:lang w:eastAsia="en-GB"/>
        </w:rPr>
        <w:t>1a</w:t>
      </w:r>
    </w:p>
    <w:p w14:paraId="44FDA1E4" w14:textId="77777777" w:rsidR="00AE462D" w:rsidRPr="00B339DB" w:rsidRDefault="00AE462D" w:rsidP="00B339DB">
      <w:pPr>
        <w:jc w:val="center"/>
        <w:rPr>
          <w:rFonts w:ascii="Times New Roman" w:hAnsi="Times New Roman" w:cs="Times New Roman"/>
          <w:b/>
          <w:bCs/>
          <w:sz w:val="24"/>
          <w:szCs w:val="24"/>
        </w:rPr>
      </w:pPr>
      <w:r w:rsidRPr="00B339DB">
        <w:rPr>
          <w:rFonts w:ascii="Times New Roman" w:hAnsi="Times New Roman" w:cs="Times New Roman"/>
          <w:b/>
          <w:bCs/>
          <w:sz w:val="24"/>
          <w:szCs w:val="24"/>
        </w:rPr>
        <w:t>Definitions</w:t>
      </w:r>
    </w:p>
    <w:p w14:paraId="51388B08" w14:textId="77777777" w:rsidR="00AE462D" w:rsidRPr="00B339DB" w:rsidRDefault="00AE462D" w:rsidP="00AE462D">
      <w:pPr>
        <w:rPr>
          <w:rFonts w:ascii="Times New Roman" w:hAnsi="Times New Roman" w:cs="Times New Roman"/>
          <w:sz w:val="24"/>
          <w:szCs w:val="24"/>
        </w:rPr>
      </w:pPr>
      <w:r w:rsidRPr="00B339DB">
        <w:rPr>
          <w:rFonts w:ascii="Times New Roman" w:hAnsi="Times New Roman" w:cs="Times New Roman"/>
          <w:sz w:val="24"/>
          <w:szCs w:val="24"/>
        </w:rPr>
        <w:t xml:space="preserve">For the purposes of this Regulation the following definitions shall apply: </w:t>
      </w:r>
    </w:p>
    <w:p w14:paraId="013A9EA2" w14:textId="77777777" w:rsidR="00AE462D" w:rsidRPr="00AE462D" w:rsidRDefault="00AE462D" w:rsidP="00AE462D">
      <w:pPr>
        <w:numPr>
          <w:ilvl w:val="0"/>
          <w:numId w:val="2"/>
        </w:numPr>
        <w:jc w:val="both"/>
        <w:rPr>
          <w:rFonts w:ascii="Times New Roman" w:hAnsi="Times New Roman" w:cs="Times New Roman"/>
          <w:sz w:val="24"/>
          <w:szCs w:val="24"/>
        </w:rPr>
      </w:pPr>
      <w:r w:rsidRPr="00B339DB">
        <w:rPr>
          <w:rFonts w:ascii="Times New Roman" w:hAnsi="Times New Roman" w:cs="Times New Roman"/>
          <w:sz w:val="24"/>
          <w:szCs w:val="24"/>
        </w:rPr>
        <w:t xml:space="preserve">Captive insurance undertakings </w:t>
      </w:r>
      <w:r>
        <w:rPr>
          <w:rFonts w:ascii="Times New Roman" w:hAnsi="Times New Roman" w:cs="Times New Roman"/>
          <w:sz w:val="24"/>
          <w:szCs w:val="24"/>
        </w:rPr>
        <w:t>means</w:t>
      </w:r>
      <w:r w:rsidRPr="00AE462D">
        <w:rPr>
          <w:rFonts w:ascii="Times New Roman" w:hAnsi="Times New Roman" w:cs="Times New Roman"/>
          <w:sz w:val="24"/>
          <w:szCs w:val="24"/>
        </w:rPr>
        <w:t xml:space="preserve"> </w:t>
      </w:r>
      <w:r>
        <w:rPr>
          <w:rFonts w:ascii="Times New Roman" w:hAnsi="Times New Roman" w:cs="Times New Roman"/>
          <w:sz w:val="24"/>
          <w:szCs w:val="24"/>
        </w:rPr>
        <w:t>undertakings</w:t>
      </w:r>
      <w:r w:rsidRPr="00AE462D">
        <w:rPr>
          <w:rFonts w:ascii="Times New Roman" w:hAnsi="Times New Roman" w:cs="Times New Roman"/>
          <w:sz w:val="24"/>
          <w:szCs w:val="24"/>
        </w:rPr>
        <w:t xml:space="preserve"> defined in point (2) of Article 13 of Directive </w:t>
      </w:r>
      <w:r>
        <w:rPr>
          <w:rFonts w:ascii="Times New Roman" w:hAnsi="Times New Roman" w:cs="Times New Roman"/>
          <w:sz w:val="24"/>
          <w:szCs w:val="24"/>
        </w:rPr>
        <w:t>2009/138/EC</w:t>
      </w:r>
      <w:r w:rsidR="00CA0148">
        <w:rPr>
          <w:rFonts w:ascii="Times New Roman" w:hAnsi="Times New Roman" w:cs="Times New Roman"/>
          <w:sz w:val="24"/>
          <w:szCs w:val="24"/>
        </w:rPr>
        <w:t>,</w:t>
      </w:r>
      <w:r>
        <w:rPr>
          <w:rFonts w:ascii="Times New Roman" w:hAnsi="Times New Roman" w:cs="Times New Roman"/>
          <w:sz w:val="24"/>
          <w:szCs w:val="24"/>
        </w:rPr>
        <w:t xml:space="preserve"> which </w:t>
      </w:r>
      <w:r w:rsidRPr="00AE462D">
        <w:rPr>
          <w:rFonts w:ascii="Times New Roman" w:hAnsi="Times New Roman" w:cs="Times New Roman"/>
          <w:sz w:val="24"/>
          <w:szCs w:val="24"/>
        </w:rPr>
        <w:t>additionally</w:t>
      </w:r>
      <w:r>
        <w:rPr>
          <w:rFonts w:ascii="Times New Roman" w:hAnsi="Times New Roman" w:cs="Times New Roman"/>
          <w:sz w:val="24"/>
          <w:szCs w:val="24"/>
        </w:rPr>
        <w:t xml:space="preserve"> fulfil all </w:t>
      </w:r>
      <w:r w:rsidR="00CA0148">
        <w:rPr>
          <w:rFonts w:ascii="Times New Roman" w:hAnsi="Times New Roman" w:cs="Times New Roman"/>
          <w:sz w:val="24"/>
          <w:szCs w:val="24"/>
        </w:rPr>
        <w:t xml:space="preserve">of  </w:t>
      </w:r>
      <w:r w:rsidRPr="00AE462D">
        <w:rPr>
          <w:rFonts w:ascii="Times New Roman" w:hAnsi="Times New Roman" w:cs="Times New Roman"/>
          <w:sz w:val="24"/>
          <w:szCs w:val="24"/>
        </w:rPr>
        <w:t>the following conditions:</w:t>
      </w:r>
    </w:p>
    <w:p w14:paraId="40E44F78" w14:textId="358B1D10" w:rsidR="00AE462D" w:rsidRPr="00AE462D" w:rsidRDefault="00AE462D" w:rsidP="00AE462D">
      <w:pPr>
        <w:pStyle w:val="ListParagraph"/>
        <w:numPr>
          <w:ilvl w:val="0"/>
          <w:numId w:val="6"/>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r w:rsidRPr="00AE462D">
        <w:rPr>
          <w:rFonts w:ascii="Times New Roman" w:eastAsia="Times New Roman" w:hAnsi="Times New Roman" w:cs="Times New Roman"/>
          <w:color w:val="000000"/>
          <w:sz w:val="24"/>
          <w:szCs w:val="24"/>
          <w:lang w:eastAsia="en-GB"/>
        </w:rPr>
        <w:t xml:space="preserve">in relation to the insurance obligations, all insured and beneficiaries are legal entities of the group </w:t>
      </w:r>
      <w:r w:rsidR="006B7DBA">
        <w:rPr>
          <w:rFonts w:ascii="Times New Roman" w:eastAsia="Times New Roman" w:hAnsi="Times New Roman" w:cs="Times New Roman"/>
          <w:color w:val="000000"/>
          <w:sz w:val="24"/>
          <w:szCs w:val="24"/>
          <w:lang w:eastAsia="en-GB"/>
        </w:rPr>
        <w:t xml:space="preserve">to </w:t>
      </w:r>
      <w:r w:rsidR="006B7DBA" w:rsidRPr="00AE462D">
        <w:rPr>
          <w:rFonts w:ascii="Times New Roman" w:eastAsia="Times New Roman" w:hAnsi="Times New Roman" w:cs="Times New Roman"/>
          <w:color w:val="000000"/>
          <w:sz w:val="24"/>
          <w:szCs w:val="24"/>
          <w:lang w:eastAsia="en-GB"/>
        </w:rPr>
        <w:t>which the captive insurance undertaking</w:t>
      </w:r>
      <w:r w:rsidR="006B7DBA">
        <w:rPr>
          <w:rFonts w:ascii="Times New Roman" w:eastAsia="Times New Roman" w:hAnsi="Times New Roman" w:cs="Times New Roman"/>
          <w:color w:val="000000"/>
          <w:sz w:val="24"/>
          <w:szCs w:val="24"/>
          <w:lang w:eastAsia="en-GB"/>
        </w:rPr>
        <w:t xml:space="preserve"> belongs</w:t>
      </w:r>
      <w:r w:rsidR="006B7DBA" w:rsidRPr="00AE462D">
        <w:rPr>
          <w:rFonts w:ascii="Times New Roman" w:eastAsia="Times New Roman" w:hAnsi="Times New Roman" w:cs="Times New Roman"/>
          <w:color w:val="000000"/>
          <w:sz w:val="24"/>
          <w:szCs w:val="24"/>
          <w:lang w:eastAsia="en-GB"/>
        </w:rPr>
        <w:t xml:space="preserve"> </w:t>
      </w:r>
      <w:r w:rsidRPr="00AE462D">
        <w:rPr>
          <w:rFonts w:ascii="Times New Roman" w:eastAsia="Times New Roman" w:hAnsi="Times New Roman" w:cs="Times New Roman"/>
          <w:color w:val="000000"/>
          <w:sz w:val="24"/>
          <w:szCs w:val="24"/>
          <w:lang w:eastAsia="en-GB"/>
        </w:rPr>
        <w:t>or</w:t>
      </w:r>
      <w:r w:rsidR="006B7DBA">
        <w:rPr>
          <w:rFonts w:ascii="Times New Roman" w:eastAsia="Times New Roman" w:hAnsi="Times New Roman" w:cs="Times New Roman"/>
          <w:color w:val="000000"/>
          <w:sz w:val="24"/>
          <w:szCs w:val="24"/>
          <w:lang w:eastAsia="en-GB"/>
        </w:rPr>
        <w:t xml:space="preserve"> are</w:t>
      </w:r>
      <w:r w:rsidRPr="00AE462D">
        <w:rPr>
          <w:rFonts w:ascii="Times New Roman" w:eastAsia="Times New Roman" w:hAnsi="Times New Roman" w:cs="Times New Roman"/>
          <w:color w:val="000000"/>
          <w:sz w:val="24"/>
          <w:szCs w:val="24"/>
          <w:lang w:eastAsia="en-GB"/>
        </w:rPr>
        <w:t xml:space="preserve"> natural persons eligible to be covered under the group insurance policies as long as the business covering natural persons remains below 5% of technical provisions; </w:t>
      </w:r>
    </w:p>
    <w:p w14:paraId="11C9854A" w14:textId="77777777" w:rsidR="00AE462D" w:rsidRPr="00AE462D" w:rsidRDefault="00AE462D" w:rsidP="00AE462D">
      <w:pPr>
        <w:pStyle w:val="ListParagraph"/>
        <w:numPr>
          <w:ilvl w:val="0"/>
          <w:numId w:val="6"/>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proofErr w:type="gramStart"/>
      <w:r w:rsidRPr="00AE462D">
        <w:rPr>
          <w:rFonts w:ascii="Times New Roman" w:eastAsia="Times New Roman" w:hAnsi="Times New Roman" w:cs="Times New Roman"/>
          <w:color w:val="000000"/>
          <w:sz w:val="24"/>
          <w:szCs w:val="24"/>
          <w:lang w:eastAsia="en-GB"/>
        </w:rPr>
        <w:t>the</w:t>
      </w:r>
      <w:proofErr w:type="gramEnd"/>
      <w:r w:rsidRPr="00AE462D">
        <w:rPr>
          <w:rFonts w:ascii="Times New Roman" w:eastAsia="Times New Roman" w:hAnsi="Times New Roman" w:cs="Times New Roman"/>
          <w:color w:val="000000"/>
          <w:sz w:val="24"/>
          <w:szCs w:val="24"/>
          <w:lang w:eastAsia="en-GB"/>
        </w:rPr>
        <w:t xml:space="preserve"> insurance obligations and the insurance contracts underlying the reinsurance obligations do not relate to any compulsory third party liability insurance.</w:t>
      </w:r>
    </w:p>
    <w:p w14:paraId="7B0B2CE3" w14:textId="537E42BE" w:rsidR="00AE462D" w:rsidRPr="00AE462D" w:rsidRDefault="00AE462D" w:rsidP="00AE462D">
      <w:pPr>
        <w:numPr>
          <w:ilvl w:val="0"/>
          <w:numId w:val="2"/>
        </w:numPr>
        <w:jc w:val="both"/>
        <w:rPr>
          <w:rFonts w:ascii="Times New Roman" w:hAnsi="Times New Roman" w:cs="Times New Roman"/>
          <w:sz w:val="24"/>
          <w:szCs w:val="24"/>
        </w:rPr>
      </w:pPr>
      <w:r w:rsidRPr="00AE462D">
        <w:rPr>
          <w:rFonts w:ascii="Times New Roman" w:hAnsi="Times New Roman" w:cs="Times New Roman"/>
          <w:sz w:val="24"/>
          <w:szCs w:val="24"/>
        </w:rPr>
        <w:t xml:space="preserve">Captive reinsurance undertakings </w:t>
      </w:r>
      <w:r>
        <w:rPr>
          <w:rFonts w:ascii="Times New Roman" w:hAnsi="Times New Roman" w:cs="Times New Roman"/>
          <w:sz w:val="24"/>
          <w:szCs w:val="24"/>
        </w:rPr>
        <w:t>means undertakings</w:t>
      </w:r>
      <w:r w:rsidRPr="00AE462D">
        <w:rPr>
          <w:rFonts w:ascii="Times New Roman" w:hAnsi="Times New Roman" w:cs="Times New Roman"/>
          <w:sz w:val="24"/>
          <w:szCs w:val="24"/>
        </w:rPr>
        <w:t xml:space="preserve"> defined in point (5) of Article 13 of </w:t>
      </w:r>
      <w:r>
        <w:rPr>
          <w:rFonts w:ascii="Times New Roman" w:hAnsi="Times New Roman" w:cs="Times New Roman"/>
          <w:sz w:val="24"/>
          <w:szCs w:val="24"/>
        </w:rPr>
        <w:t>Directive 2009/138/EC</w:t>
      </w:r>
      <w:r w:rsidR="00CA0148">
        <w:rPr>
          <w:rFonts w:ascii="Times New Roman" w:hAnsi="Times New Roman" w:cs="Times New Roman"/>
          <w:sz w:val="24"/>
          <w:szCs w:val="24"/>
        </w:rPr>
        <w:t>,</w:t>
      </w:r>
      <w:r w:rsidR="004A46BE">
        <w:rPr>
          <w:rFonts w:ascii="Times New Roman" w:hAnsi="Times New Roman" w:cs="Times New Roman"/>
          <w:sz w:val="24"/>
          <w:szCs w:val="24"/>
        </w:rPr>
        <w:t xml:space="preserve"> </w:t>
      </w:r>
      <w:r>
        <w:rPr>
          <w:rFonts w:ascii="Times New Roman" w:hAnsi="Times New Roman" w:cs="Times New Roman"/>
          <w:sz w:val="24"/>
          <w:szCs w:val="24"/>
        </w:rPr>
        <w:t xml:space="preserve">which </w:t>
      </w:r>
      <w:r w:rsidRPr="00AE462D">
        <w:rPr>
          <w:rFonts w:ascii="Times New Roman" w:hAnsi="Times New Roman" w:cs="Times New Roman"/>
          <w:sz w:val="24"/>
          <w:szCs w:val="24"/>
        </w:rPr>
        <w:t xml:space="preserve">additionally </w:t>
      </w:r>
      <w:r>
        <w:rPr>
          <w:rFonts w:ascii="Times New Roman" w:hAnsi="Times New Roman" w:cs="Times New Roman"/>
          <w:sz w:val="24"/>
          <w:szCs w:val="24"/>
        </w:rPr>
        <w:t>fulfil all</w:t>
      </w:r>
      <w:r w:rsidRPr="00AE462D">
        <w:rPr>
          <w:rFonts w:ascii="Times New Roman" w:hAnsi="Times New Roman" w:cs="Times New Roman"/>
          <w:sz w:val="24"/>
          <w:szCs w:val="24"/>
        </w:rPr>
        <w:t xml:space="preserve"> </w:t>
      </w:r>
      <w:r w:rsidR="00CA0148">
        <w:rPr>
          <w:rFonts w:ascii="Times New Roman" w:hAnsi="Times New Roman" w:cs="Times New Roman"/>
          <w:sz w:val="24"/>
          <w:szCs w:val="24"/>
        </w:rPr>
        <w:t xml:space="preserve">of </w:t>
      </w:r>
      <w:r w:rsidRPr="00AE462D">
        <w:rPr>
          <w:rFonts w:ascii="Times New Roman" w:hAnsi="Times New Roman" w:cs="Times New Roman"/>
          <w:sz w:val="24"/>
          <w:szCs w:val="24"/>
        </w:rPr>
        <w:t>the following conditions:</w:t>
      </w:r>
    </w:p>
    <w:p w14:paraId="76C60BD4" w14:textId="60EB2FCC" w:rsidR="00AE462D" w:rsidRDefault="00AE462D" w:rsidP="00AE462D">
      <w:pPr>
        <w:pStyle w:val="ListParagraph"/>
        <w:numPr>
          <w:ilvl w:val="0"/>
          <w:numId w:val="7"/>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the conditions in points </w:t>
      </w:r>
      <w:proofErr w:type="spellStart"/>
      <w:r>
        <w:rPr>
          <w:rFonts w:ascii="Times New Roman" w:eastAsia="Times New Roman" w:hAnsi="Times New Roman" w:cs="Times New Roman"/>
          <w:color w:val="000000"/>
          <w:sz w:val="24"/>
          <w:szCs w:val="24"/>
          <w:lang w:eastAsia="en-GB"/>
        </w:rPr>
        <w:t>i</w:t>
      </w:r>
      <w:proofErr w:type="spellEnd"/>
      <w:r>
        <w:rPr>
          <w:rFonts w:ascii="Times New Roman" w:eastAsia="Times New Roman" w:hAnsi="Times New Roman" w:cs="Times New Roman"/>
          <w:color w:val="000000"/>
          <w:sz w:val="24"/>
          <w:szCs w:val="24"/>
          <w:lang w:eastAsia="en-GB"/>
        </w:rPr>
        <w:t>) and ii) of</w:t>
      </w:r>
      <w:r w:rsidR="00ED7455">
        <w:rPr>
          <w:rFonts w:ascii="Times New Roman" w:eastAsia="Times New Roman" w:hAnsi="Times New Roman" w:cs="Times New Roman"/>
          <w:color w:val="000000"/>
          <w:sz w:val="24"/>
          <w:szCs w:val="24"/>
          <w:lang w:eastAsia="en-GB"/>
        </w:rPr>
        <w:t xml:space="preserve"> point a) of this </w:t>
      </w:r>
      <w:r>
        <w:rPr>
          <w:rFonts w:ascii="Times New Roman" w:eastAsia="Times New Roman" w:hAnsi="Times New Roman" w:cs="Times New Roman"/>
          <w:color w:val="000000"/>
          <w:sz w:val="24"/>
          <w:szCs w:val="24"/>
          <w:lang w:eastAsia="en-GB"/>
        </w:rPr>
        <w:t>Article;</w:t>
      </w:r>
    </w:p>
    <w:p w14:paraId="26C0BE86" w14:textId="4935FABA" w:rsidR="00AE462D" w:rsidRDefault="00AE462D" w:rsidP="00AE462D">
      <w:pPr>
        <w:pStyle w:val="ListParagraph"/>
        <w:numPr>
          <w:ilvl w:val="0"/>
          <w:numId w:val="7"/>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l</w:t>
      </w:r>
      <w:r w:rsidRPr="008A49CC">
        <w:rPr>
          <w:rFonts w:ascii="Times New Roman" w:eastAsia="Times New Roman" w:hAnsi="Times New Roman" w:cs="Times New Roman"/>
          <w:color w:val="000000"/>
          <w:sz w:val="24"/>
          <w:szCs w:val="24"/>
          <w:lang w:eastAsia="en-GB"/>
        </w:rPr>
        <w:t>oans in place with the parent or any group company</w:t>
      </w:r>
      <w:r>
        <w:rPr>
          <w:rFonts w:ascii="Times New Roman" w:eastAsia="Times New Roman" w:hAnsi="Times New Roman" w:cs="Times New Roman"/>
          <w:color w:val="000000"/>
          <w:sz w:val="24"/>
          <w:szCs w:val="24"/>
          <w:lang w:eastAsia="en-GB"/>
        </w:rPr>
        <w:t>, including</w:t>
      </w:r>
      <w:r w:rsidRPr="008A49CC">
        <w:rPr>
          <w:rFonts w:ascii="Times New Roman" w:eastAsia="Times New Roman" w:hAnsi="Times New Roman" w:cs="Times New Roman"/>
          <w:color w:val="000000"/>
          <w:sz w:val="24"/>
          <w:szCs w:val="24"/>
          <w:lang w:eastAsia="en-GB"/>
        </w:rPr>
        <w:t xml:space="preserve"> </w:t>
      </w:r>
      <w:r w:rsidRPr="00B273CE">
        <w:rPr>
          <w:rFonts w:ascii="Times New Roman" w:eastAsia="Times New Roman" w:hAnsi="Times New Roman" w:cs="Times New Roman"/>
          <w:color w:val="000000"/>
          <w:sz w:val="24"/>
          <w:szCs w:val="24"/>
          <w:lang w:eastAsia="en-GB"/>
        </w:rPr>
        <w:t xml:space="preserve">groups </w:t>
      </w:r>
      <w:proofErr w:type="spellStart"/>
      <w:r w:rsidRPr="00B273CE">
        <w:rPr>
          <w:rFonts w:ascii="Times New Roman" w:eastAsia="Times New Roman" w:hAnsi="Times New Roman" w:cs="Times New Roman"/>
          <w:color w:val="000000"/>
          <w:sz w:val="24"/>
          <w:szCs w:val="24"/>
          <w:lang w:eastAsia="en-GB"/>
        </w:rPr>
        <w:t>cashpools</w:t>
      </w:r>
      <w:proofErr w:type="spellEnd"/>
      <w:r w:rsidRPr="00B273CE">
        <w:rPr>
          <w:rFonts w:ascii="Times New Roman" w:eastAsia="Times New Roman" w:hAnsi="Times New Roman" w:cs="Times New Roman"/>
          <w:color w:val="000000"/>
          <w:sz w:val="24"/>
          <w:szCs w:val="24"/>
          <w:lang w:eastAsia="en-GB"/>
        </w:rPr>
        <w:t xml:space="preserve"> </w:t>
      </w:r>
      <w:r w:rsidRPr="008A49CC">
        <w:rPr>
          <w:rFonts w:ascii="Times New Roman" w:eastAsia="Times New Roman" w:hAnsi="Times New Roman" w:cs="Times New Roman"/>
          <w:color w:val="000000"/>
          <w:sz w:val="24"/>
          <w:szCs w:val="24"/>
          <w:lang w:eastAsia="en-GB"/>
        </w:rPr>
        <w:t xml:space="preserve">do not exceed 20% of </w:t>
      </w:r>
      <w:r w:rsidR="00ED7455">
        <w:rPr>
          <w:rFonts w:ascii="Times New Roman" w:eastAsia="Times New Roman" w:hAnsi="Times New Roman" w:cs="Times New Roman"/>
          <w:color w:val="000000"/>
          <w:sz w:val="24"/>
          <w:szCs w:val="24"/>
          <w:lang w:eastAsia="en-GB"/>
        </w:rPr>
        <w:t>T</w:t>
      </w:r>
      <w:r w:rsidRPr="008A49CC">
        <w:rPr>
          <w:rFonts w:ascii="Times New Roman" w:eastAsia="Times New Roman" w:hAnsi="Times New Roman" w:cs="Times New Roman"/>
          <w:color w:val="000000"/>
          <w:sz w:val="24"/>
          <w:szCs w:val="24"/>
          <w:lang w:eastAsia="en-GB"/>
        </w:rPr>
        <w:t xml:space="preserve">otal </w:t>
      </w:r>
      <w:r w:rsidR="00ED7455">
        <w:rPr>
          <w:rFonts w:ascii="Times New Roman" w:eastAsia="Times New Roman" w:hAnsi="Times New Roman" w:cs="Times New Roman"/>
          <w:color w:val="000000"/>
          <w:sz w:val="24"/>
          <w:szCs w:val="24"/>
          <w:lang w:eastAsia="en-GB"/>
        </w:rPr>
        <w:t>A</w:t>
      </w:r>
      <w:r w:rsidRPr="008A49CC">
        <w:rPr>
          <w:rFonts w:ascii="Times New Roman" w:eastAsia="Times New Roman" w:hAnsi="Times New Roman" w:cs="Times New Roman"/>
          <w:color w:val="000000"/>
          <w:sz w:val="24"/>
          <w:szCs w:val="24"/>
          <w:lang w:eastAsia="en-GB"/>
        </w:rPr>
        <w:t>ssets held by the captive</w:t>
      </w:r>
      <w:r>
        <w:rPr>
          <w:rFonts w:ascii="Times New Roman" w:eastAsia="Times New Roman" w:hAnsi="Times New Roman" w:cs="Times New Roman"/>
          <w:color w:val="000000"/>
          <w:sz w:val="24"/>
          <w:szCs w:val="24"/>
          <w:lang w:eastAsia="en-GB"/>
        </w:rPr>
        <w:t xml:space="preserve"> reinsurance undertaking</w:t>
      </w:r>
      <w:r w:rsidRPr="008A49CC">
        <w:rPr>
          <w:rFonts w:ascii="Times New Roman" w:eastAsia="Times New Roman" w:hAnsi="Times New Roman" w:cs="Times New Roman"/>
          <w:color w:val="000000"/>
          <w:sz w:val="24"/>
          <w:szCs w:val="24"/>
          <w:lang w:eastAsia="en-GB"/>
        </w:rPr>
        <w:t xml:space="preserve">; </w:t>
      </w:r>
    </w:p>
    <w:p w14:paraId="4B59F3EB" w14:textId="77777777" w:rsidR="00AE462D" w:rsidRDefault="00AE462D" w:rsidP="00AE462D">
      <w:pPr>
        <w:pStyle w:val="ListParagraph"/>
        <w:numPr>
          <w:ilvl w:val="0"/>
          <w:numId w:val="7"/>
        </w:numPr>
        <w:shd w:val="clear" w:color="auto" w:fill="FFFFFF"/>
        <w:spacing w:before="360" w:after="120" w:line="240" w:lineRule="auto"/>
        <w:jc w:val="both"/>
        <w:rPr>
          <w:rFonts w:ascii="Times New Roman" w:eastAsia="Times New Roman" w:hAnsi="Times New Roman" w:cs="Times New Roman"/>
          <w:color w:val="000000"/>
          <w:sz w:val="24"/>
          <w:szCs w:val="24"/>
          <w:lang w:eastAsia="en-GB"/>
        </w:rPr>
      </w:pPr>
      <w:proofErr w:type="gramStart"/>
      <w:r>
        <w:rPr>
          <w:rFonts w:ascii="Times New Roman" w:eastAsia="Times New Roman" w:hAnsi="Times New Roman" w:cs="Times New Roman"/>
          <w:color w:val="000000"/>
          <w:sz w:val="24"/>
          <w:szCs w:val="24"/>
          <w:lang w:eastAsia="en-GB"/>
        </w:rPr>
        <w:t>t</w:t>
      </w:r>
      <w:r w:rsidRPr="008A49CC">
        <w:rPr>
          <w:rFonts w:ascii="Times New Roman" w:eastAsia="Times New Roman" w:hAnsi="Times New Roman" w:cs="Times New Roman"/>
          <w:color w:val="000000"/>
          <w:sz w:val="24"/>
          <w:szCs w:val="24"/>
          <w:lang w:eastAsia="en-GB"/>
        </w:rPr>
        <w:t>he</w:t>
      </w:r>
      <w:proofErr w:type="gramEnd"/>
      <w:r w:rsidRPr="008A49CC">
        <w:rPr>
          <w:rFonts w:ascii="Times New Roman" w:eastAsia="Times New Roman" w:hAnsi="Times New Roman" w:cs="Times New Roman"/>
          <w:color w:val="000000"/>
          <w:sz w:val="24"/>
          <w:szCs w:val="24"/>
          <w:lang w:eastAsia="en-GB"/>
        </w:rPr>
        <w:t xml:space="preserve"> maximum loss resulting from the </w:t>
      </w:r>
      <w:r>
        <w:rPr>
          <w:rFonts w:ascii="Times New Roman" w:eastAsia="Times New Roman" w:hAnsi="Times New Roman" w:cs="Times New Roman"/>
          <w:color w:val="000000"/>
          <w:sz w:val="24"/>
          <w:szCs w:val="24"/>
          <w:lang w:eastAsia="en-GB"/>
        </w:rPr>
        <w:t>gross technical provisions</w:t>
      </w:r>
      <w:r w:rsidRPr="008A49CC">
        <w:rPr>
          <w:rFonts w:ascii="Times New Roman" w:eastAsia="Times New Roman" w:hAnsi="Times New Roman" w:cs="Times New Roman"/>
          <w:color w:val="000000"/>
          <w:sz w:val="24"/>
          <w:szCs w:val="24"/>
          <w:lang w:eastAsia="en-GB"/>
        </w:rPr>
        <w:t xml:space="preserve"> can be deterministically assessed without </w:t>
      </w:r>
      <w:r w:rsidR="005B0019">
        <w:rPr>
          <w:rFonts w:ascii="Times New Roman" w:eastAsia="Times New Roman" w:hAnsi="Times New Roman" w:cs="Times New Roman"/>
          <w:color w:val="000000"/>
          <w:sz w:val="24"/>
          <w:szCs w:val="24"/>
          <w:lang w:eastAsia="en-GB"/>
        </w:rPr>
        <w:t xml:space="preserve">the </w:t>
      </w:r>
      <w:r w:rsidRPr="008A49CC">
        <w:rPr>
          <w:rFonts w:ascii="Times New Roman" w:eastAsia="Times New Roman" w:hAnsi="Times New Roman" w:cs="Times New Roman"/>
          <w:color w:val="000000"/>
          <w:sz w:val="24"/>
          <w:szCs w:val="24"/>
          <w:lang w:eastAsia="en-GB"/>
        </w:rPr>
        <w:t>use of stochastic methods.</w:t>
      </w:r>
    </w:p>
    <w:p w14:paraId="54EF6506"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w:t>
      </w:r>
    </w:p>
    <w:p w14:paraId="7F036B2C"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Supervisory reporting formats</w:t>
      </w:r>
    </w:p>
    <w:p w14:paraId="0D50F68B" w14:textId="77777777" w:rsidR="00CF75B8" w:rsidRDefault="000A3A8F"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w:t>
      </w:r>
      <w:r w:rsidRPr="00EC0E08">
        <w:rPr>
          <w:rFonts w:ascii="Times New Roman" w:eastAsia="Times New Roman" w:hAnsi="Times New Roman" w:cs="Times New Roman"/>
          <w:color w:val="000000"/>
          <w:sz w:val="24"/>
          <w:szCs w:val="24"/>
          <w:lang w:eastAsia="en-GB"/>
        </w:rPr>
        <w:t xml:space="preserve"> reinsurance undertakings, </w:t>
      </w:r>
      <w:r w:rsidR="00EC0E08" w:rsidRPr="00EC0E08">
        <w:rPr>
          <w:rFonts w:ascii="Times New Roman" w:eastAsia="Times New Roman" w:hAnsi="Times New Roman" w:cs="Times New Roman"/>
          <w:bCs/>
          <w:color w:val="000000"/>
          <w:sz w:val="24"/>
          <w:szCs w:val="24"/>
          <w:lang w:eastAsia="en-GB"/>
        </w:rPr>
        <w:t>captive insurance and captive reinsurance undertakings,</w:t>
      </w:r>
      <w:r w:rsidR="00EC0E08" w:rsidRPr="000A3A8F">
        <w:rPr>
          <w:rFonts w:ascii="Times New Roman" w:eastAsia="Times New Roman" w:hAnsi="Times New Roman" w:cs="Times New Roman"/>
          <w:color w:val="000000"/>
          <w:sz w:val="24"/>
          <w:szCs w:val="24"/>
          <w:lang w:eastAsia="en-GB"/>
        </w:rPr>
        <w:t xml:space="preserve"> </w:t>
      </w: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the information referred to in this Regulation in the data exchange formats and representations determined by the supervisory authorities or by the group supervisor and in accordance with the following specifications:</w:t>
      </w:r>
      <w:r w:rsidR="00CF75B8" w:rsidRPr="00CF75B8">
        <w:rPr>
          <w:rFonts w:ascii="inherit" w:eastAsia="Times New Roman" w:hAnsi="inherit" w:cs="Times New Roman"/>
          <w:color w:val="000000"/>
          <w:sz w:val="24"/>
          <w:szCs w:val="24"/>
          <w:lang w:eastAsia="en-GB"/>
        </w:rPr>
        <w:t xml:space="preserve"> </w:t>
      </w:r>
    </w:p>
    <w:p w14:paraId="41336893" w14:textId="379525A3" w:rsidR="000A3A8F" w:rsidRPr="00CF75B8" w:rsidRDefault="00CF75B8" w:rsidP="00CF75B8">
      <w:pPr>
        <w:pStyle w:val="ListParagraph"/>
        <w:numPr>
          <w:ilvl w:val="0"/>
          <w:numId w:val="12"/>
        </w:numPr>
        <w:shd w:val="clear" w:color="auto" w:fill="FFFFFF"/>
        <w:spacing w:before="120" w:after="0" w:line="240" w:lineRule="auto"/>
        <w:jc w:val="both"/>
        <w:rPr>
          <w:rFonts w:ascii="inherit" w:eastAsia="Times New Roman" w:hAnsi="inherit" w:cs="Times New Roman"/>
          <w:color w:val="000000"/>
          <w:sz w:val="24"/>
          <w:szCs w:val="24"/>
          <w:lang w:eastAsia="en-GB"/>
        </w:rPr>
      </w:pPr>
      <w:r w:rsidRPr="00CF75B8">
        <w:rPr>
          <w:rFonts w:ascii="inherit" w:eastAsia="Times New Roman" w:hAnsi="inherit" w:cs="Times New Roman"/>
          <w:color w:val="000000"/>
          <w:sz w:val="24"/>
          <w:szCs w:val="24"/>
          <w:lang w:eastAsia="en-GB"/>
        </w:rPr>
        <w:t>data points with the data type ‘monetary’ shall be expressed in units with no decimals with the exception of templates S.06.02, S.08.01 and S.11.01, which shall be expressed in units with two decimals;</w:t>
      </w:r>
    </w:p>
    <w:p w14:paraId="77BB1686" w14:textId="5720B31D" w:rsidR="00CF75B8" w:rsidRPr="00CF75B8" w:rsidRDefault="00CF75B8" w:rsidP="00CF75B8">
      <w:pPr>
        <w:pStyle w:val="ListParagraph"/>
        <w:numPr>
          <w:ilvl w:val="0"/>
          <w:numId w:val="12"/>
        </w:numPr>
        <w:shd w:val="clear" w:color="auto" w:fill="FFFFFF"/>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data points with the data type ‘percentage’ shall be expressed as per unit</w:t>
      </w:r>
      <w:r w:rsidRPr="00CF75B8">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with four decimals</w:t>
      </w:r>
      <w:r>
        <w:rPr>
          <w:rFonts w:ascii="inherit" w:eastAsia="Times New Roman" w:hAnsi="inherit" w:cs="Times New Roman"/>
          <w:color w:val="000000"/>
          <w:sz w:val="24"/>
          <w:szCs w:val="24"/>
          <w:lang w:eastAsia="en-GB"/>
        </w:rPr>
        <w:t>;</w:t>
      </w:r>
    </w:p>
    <w:p w14:paraId="173FA7E6" w14:textId="48D4A4E6" w:rsidR="00CF75B8" w:rsidRPr="00CF75B8" w:rsidRDefault="00CF75B8" w:rsidP="00CF75B8">
      <w:pPr>
        <w:pStyle w:val="ListParagraph"/>
        <w:numPr>
          <w:ilvl w:val="0"/>
          <w:numId w:val="12"/>
        </w:numPr>
        <w:spacing w:before="120" w:after="0" w:line="240" w:lineRule="auto"/>
        <w:jc w:val="both"/>
        <w:rPr>
          <w:rFonts w:ascii="inherit" w:eastAsia="Times New Roman" w:hAnsi="inherit" w:cs="Times New Roman"/>
          <w:color w:val="000000"/>
          <w:sz w:val="24"/>
          <w:szCs w:val="24"/>
          <w:lang w:eastAsia="en-GB"/>
        </w:rPr>
      </w:pPr>
      <w:r w:rsidRPr="00CF75B8">
        <w:rPr>
          <w:rFonts w:ascii="inherit" w:eastAsia="Times New Roman" w:hAnsi="inherit" w:cs="Times New Roman"/>
          <w:color w:val="000000"/>
          <w:sz w:val="24"/>
          <w:szCs w:val="24"/>
          <w:lang w:eastAsia="en-GB"/>
        </w:rPr>
        <w:lastRenderedPageBreak/>
        <w:t>data points with the data type ‘integer’ shall be expressed in units with no decimals</w:t>
      </w:r>
      <w:r>
        <w:rPr>
          <w:rFonts w:ascii="inherit" w:eastAsia="Times New Roman" w:hAnsi="inherit" w:cs="Times New Roman"/>
          <w:color w:val="000000"/>
          <w:sz w:val="24"/>
          <w:szCs w:val="24"/>
          <w:lang w:eastAsia="en-GB"/>
        </w:rPr>
        <w:t>;</w:t>
      </w:r>
    </w:p>
    <w:p w14:paraId="1C844225" w14:textId="3C0BD49A" w:rsidR="00CF75B8" w:rsidRPr="00CF75B8" w:rsidRDefault="00CF75B8" w:rsidP="00CF75B8">
      <w:pPr>
        <w:pStyle w:val="ListParagraph"/>
        <w:numPr>
          <w:ilvl w:val="0"/>
          <w:numId w:val="12"/>
        </w:numPr>
        <w:shd w:val="clear" w:color="auto" w:fill="FFFFFF"/>
        <w:spacing w:before="120" w:after="0" w:line="240" w:lineRule="auto"/>
        <w:jc w:val="both"/>
        <w:rPr>
          <w:rFonts w:ascii="inherit" w:eastAsia="Times New Roman" w:hAnsi="inherit" w:cs="Times New Roman"/>
          <w:color w:val="000000"/>
          <w:sz w:val="24"/>
          <w:szCs w:val="24"/>
          <w:lang w:eastAsia="en-GB"/>
        </w:rPr>
      </w:pPr>
      <w:r w:rsidRPr="00CF75B8">
        <w:rPr>
          <w:rFonts w:ascii="inherit" w:eastAsia="Times New Roman" w:hAnsi="inherit" w:cs="Times New Roman"/>
          <w:color w:val="000000"/>
          <w:sz w:val="24"/>
          <w:szCs w:val="24"/>
          <w:lang w:eastAsia="en-GB"/>
        </w:rPr>
        <w:t>all data points shall be expressed as positive values except in the following cases:</w:t>
      </w:r>
    </w:p>
    <w:p w14:paraId="21280D0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6"/>
        <w:gridCol w:w="9020"/>
      </w:tblGrid>
      <w:tr w:rsidR="000A3A8F" w:rsidRPr="007F2CD5" w14:paraId="007C5633" w14:textId="77777777" w:rsidTr="000A3A8F">
        <w:tc>
          <w:tcPr>
            <w:tcW w:w="0" w:type="auto"/>
            <w:shd w:val="clear" w:color="auto" w:fill="FFFFFF"/>
            <w:hideMark/>
          </w:tcPr>
          <w:p w14:paraId="18882D0B" w14:textId="6C341B27" w:rsidR="000A3A8F" w:rsidRPr="000A3A8F" w:rsidRDefault="000A3A8F" w:rsidP="00CF75B8">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5A3CD317" w14:textId="77777777" w:rsidR="009E3071" w:rsidRPr="00853267" w:rsidRDefault="009E3071" w:rsidP="009E3071">
            <w:pPr>
              <w:pStyle w:val="Point1"/>
              <w:rPr>
                <w:rFonts w:ascii="inherit" w:eastAsia="Times New Roman" w:hAnsi="inherit"/>
                <w:color w:val="000000"/>
                <w:lang w:val="en-GB"/>
              </w:rPr>
            </w:pPr>
            <w:r w:rsidRPr="00853267">
              <w:rPr>
                <w:rFonts w:ascii="inherit" w:eastAsia="Times New Roman" w:hAnsi="inherit"/>
                <w:color w:val="000000"/>
                <w:lang w:val="en-GB"/>
              </w:rPr>
              <w:tab/>
              <w:t>(</w:t>
            </w:r>
            <w:proofErr w:type="spellStart"/>
            <w:r w:rsidRPr="00853267">
              <w:rPr>
                <w:rFonts w:ascii="inherit" w:eastAsia="Times New Roman" w:hAnsi="inherit"/>
                <w:color w:val="000000"/>
                <w:lang w:val="en-GB"/>
              </w:rPr>
              <w:t>i</w:t>
            </w:r>
            <w:proofErr w:type="spellEnd"/>
            <w:r w:rsidRPr="00853267">
              <w:rPr>
                <w:rFonts w:ascii="inherit" w:eastAsia="Times New Roman" w:hAnsi="inherit"/>
                <w:color w:val="000000"/>
                <w:lang w:val="en-GB"/>
              </w:rPr>
              <w:t>)</w:t>
            </w:r>
            <w:r w:rsidRPr="00853267">
              <w:rPr>
                <w:rFonts w:ascii="inherit" w:eastAsia="Times New Roman" w:hAnsi="inherit"/>
                <w:color w:val="000000"/>
                <w:lang w:val="en-GB"/>
              </w:rPr>
              <w:tab/>
              <w:t>they are of an opposite nature from the natural amount of the item;</w:t>
            </w:r>
          </w:p>
          <w:p w14:paraId="6A7B0EC4" w14:textId="77777777" w:rsidR="009E3071" w:rsidRPr="00853267" w:rsidRDefault="009E3071" w:rsidP="009E3071">
            <w:pPr>
              <w:pStyle w:val="Point1"/>
              <w:rPr>
                <w:rFonts w:ascii="inherit" w:eastAsia="Times New Roman" w:hAnsi="inherit"/>
                <w:color w:val="000000"/>
                <w:lang w:val="en-GB"/>
              </w:rPr>
            </w:pPr>
            <w:r w:rsidRPr="00853267">
              <w:rPr>
                <w:rFonts w:ascii="inherit" w:eastAsia="Times New Roman" w:hAnsi="inherit"/>
                <w:color w:val="000000"/>
                <w:lang w:val="en-GB"/>
              </w:rPr>
              <w:tab/>
              <w:t>(ii)</w:t>
            </w:r>
            <w:r w:rsidRPr="00853267">
              <w:rPr>
                <w:rFonts w:ascii="inherit" w:eastAsia="Times New Roman" w:hAnsi="inherit"/>
                <w:color w:val="000000"/>
                <w:lang w:val="en-GB"/>
              </w:rPr>
              <w:tab/>
              <w:t>the nature of the data point allows for positive and negative values to be reported;</w:t>
            </w:r>
          </w:p>
          <w:p w14:paraId="0DF2673F" w14:textId="77777777" w:rsidR="009E3071" w:rsidRPr="00853267" w:rsidRDefault="009E3071" w:rsidP="009E3071">
            <w:pPr>
              <w:pStyle w:val="Point1"/>
              <w:rPr>
                <w:rFonts w:ascii="inherit" w:eastAsia="Times New Roman" w:hAnsi="inherit"/>
                <w:color w:val="000000"/>
                <w:lang w:val="en-GB"/>
              </w:rPr>
            </w:pPr>
            <w:r w:rsidRPr="00853267">
              <w:rPr>
                <w:rFonts w:ascii="inherit" w:eastAsia="Times New Roman" w:hAnsi="inherit"/>
                <w:color w:val="000000"/>
                <w:lang w:val="en-GB"/>
              </w:rPr>
              <w:tab/>
              <w:t>(iii)</w:t>
            </w:r>
            <w:r w:rsidRPr="00853267">
              <w:rPr>
                <w:rFonts w:ascii="inherit" w:eastAsia="Times New Roman" w:hAnsi="inherit"/>
                <w:color w:val="000000"/>
                <w:lang w:val="en-GB"/>
              </w:rPr>
              <w:tab/>
            </w:r>
            <w:proofErr w:type="gramStart"/>
            <w:r w:rsidRPr="00853267">
              <w:rPr>
                <w:rFonts w:ascii="inherit" w:eastAsia="Times New Roman" w:hAnsi="inherit"/>
                <w:color w:val="000000"/>
                <w:lang w:val="en-GB"/>
              </w:rPr>
              <w:t>a</w:t>
            </w:r>
            <w:proofErr w:type="gramEnd"/>
            <w:r w:rsidRPr="00853267">
              <w:rPr>
                <w:rFonts w:ascii="inherit" w:eastAsia="Times New Roman" w:hAnsi="inherit"/>
                <w:color w:val="000000"/>
                <w:lang w:val="en-GB"/>
              </w:rPr>
              <w:t xml:space="preserve"> different reporting format is required by the respective instructions set out in the Annexes.</w:t>
            </w:r>
          </w:p>
          <w:p w14:paraId="276FA0E6" w14:textId="77777777" w:rsidR="009E3071" w:rsidRPr="000A3A8F" w:rsidRDefault="009E3071" w:rsidP="000A3A8F">
            <w:pPr>
              <w:spacing w:before="120" w:after="0" w:line="240" w:lineRule="auto"/>
              <w:jc w:val="both"/>
              <w:rPr>
                <w:rFonts w:ascii="inherit" w:eastAsia="Times New Roman" w:hAnsi="inherit" w:cs="Times New Roman"/>
                <w:color w:val="000000"/>
                <w:sz w:val="24"/>
                <w:szCs w:val="24"/>
                <w:lang w:eastAsia="en-GB"/>
              </w:rPr>
            </w:pPr>
          </w:p>
        </w:tc>
      </w:tr>
    </w:tbl>
    <w:p w14:paraId="3D03904F"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w:t>
      </w:r>
    </w:p>
    <w:p w14:paraId="4CC3FFDD"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Currency</w:t>
      </w:r>
    </w:p>
    <w:p w14:paraId="163BAC6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For the purposes of this Regulation ‘reporting currency’, unless otherwise required by the supervisory authority, shall be:</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2BC4A211" w14:textId="77777777" w:rsidTr="000A3A8F">
        <w:tc>
          <w:tcPr>
            <w:tcW w:w="0" w:type="auto"/>
            <w:shd w:val="clear" w:color="auto" w:fill="FFFFFF"/>
            <w:hideMark/>
          </w:tcPr>
          <w:p w14:paraId="0A52EE6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2A9185B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for individual reporting, the currency used for the preparation of the insurance or reinsurance undertaking's financial statements;</w:t>
            </w:r>
          </w:p>
        </w:tc>
      </w:tr>
    </w:tbl>
    <w:p w14:paraId="318A2A1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CD7D044" w14:textId="77777777" w:rsidTr="000A3A8F">
        <w:tc>
          <w:tcPr>
            <w:tcW w:w="0" w:type="auto"/>
            <w:shd w:val="clear" w:color="auto" w:fill="FFFFFF"/>
            <w:hideMark/>
          </w:tcPr>
          <w:p w14:paraId="1C7C710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D08920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for</w:t>
            </w:r>
            <w:proofErr w:type="gramEnd"/>
            <w:r w:rsidRPr="000A3A8F">
              <w:rPr>
                <w:rFonts w:ascii="inherit" w:eastAsia="Times New Roman" w:hAnsi="inherit" w:cs="Times New Roman"/>
                <w:color w:val="000000"/>
                <w:sz w:val="24"/>
                <w:szCs w:val="24"/>
                <w:lang w:eastAsia="en-GB"/>
              </w:rPr>
              <w:t xml:space="preserve"> group reporting, the currency used for the preparation of the consolidated financial statements.</w:t>
            </w:r>
          </w:p>
        </w:tc>
      </w:tr>
    </w:tbl>
    <w:p w14:paraId="7E5DAEEB"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Data points with the data type ‘monetary’ shall be reported in the reporting currency, which requires the conversion of any other currency into the reporting currency unless otherwise stated in this Regulation.</w:t>
      </w:r>
    </w:p>
    <w:p w14:paraId="6B0C7510"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3.   When expressing the value of any asset or liability denominated in a currency other than the reporting currency, the value shall be converted into the reporting currency as if the conversion had taken place at the closing rate on the last day for which the appropriate rate is available in the reporting period to which the asset or liability relates.</w:t>
      </w:r>
    </w:p>
    <w:p w14:paraId="57F3E537"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4.   When expressing the value of any income or expense, the value shall be converted into the reporting currency using such basis of conversion as that used for accounting purposes.</w:t>
      </w:r>
    </w:p>
    <w:p w14:paraId="42AD594E"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5.   The conversion into the reporting currency shall be calculated by applying the exchange rate from the same source as that used for the insurance or reinsurance undertaking's financial statements in the case of individual reporting or for the consolidated financial statements in the case of group reporting, unless otherwise required by the supervisory authority.</w:t>
      </w:r>
    </w:p>
    <w:p w14:paraId="0F47D583"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4</w:t>
      </w:r>
    </w:p>
    <w:p w14:paraId="51D6C3B4"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Re-submission of data</w:t>
      </w:r>
    </w:p>
    <w:p w14:paraId="371EA450" w14:textId="62C3F315" w:rsidR="003840E6" w:rsidRDefault="000A3A8F" w:rsidP="007E2BEC">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EC0E08" w:rsidRPr="00EC0E08">
        <w:rPr>
          <w:rFonts w:ascii="Times New Roman" w:eastAsia="Times New Roman" w:hAnsi="Times New Roman" w:cs="Times New Roman"/>
          <w:bCs/>
          <w:color w:val="000000"/>
          <w:sz w:val="24"/>
          <w:szCs w:val="24"/>
          <w:lang w:eastAsia="en-GB"/>
        </w:rPr>
        <w:t>captive insurance and captive reinsurance undertakings</w:t>
      </w:r>
      <w:r w:rsidR="00EC0E08">
        <w:rPr>
          <w:rFonts w:ascii="Times New Roman" w:eastAsia="Times New Roman" w:hAnsi="Times New Roman" w:cs="Times New Roman"/>
          <w:bCs/>
          <w:color w:val="000000"/>
          <w:sz w:val="24"/>
          <w:szCs w:val="24"/>
          <w:lang w:eastAsia="en-GB"/>
        </w:rPr>
        <w:t>,</w:t>
      </w:r>
      <w:r w:rsidR="00EC0E08" w:rsidRPr="00EC0E08">
        <w:rPr>
          <w:rFonts w:ascii="Times New Roman" w:eastAsia="Times New Roman" w:hAnsi="Times New Roman" w:cs="Times New Roman"/>
          <w:color w:val="000000"/>
          <w:sz w:val="24"/>
          <w:szCs w:val="24"/>
          <w:lang w:eastAsia="en-GB"/>
        </w:rPr>
        <w:t xml:space="preserve"> </w:t>
      </w:r>
      <w:r w:rsidRPr="00EC0E08">
        <w:rPr>
          <w:rFonts w:ascii="Times New Roman" w:eastAsia="Times New Roman" w:hAnsi="Times New Roman" w:cs="Times New Roman"/>
          <w:color w:val="000000"/>
          <w:sz w:val="24"/>
          <w:szCs w:val="24"/>
          <w:lang w:eastAsia="en-GB"/>
        </w:rPr>
        <w:t>pa</w:t>
      </w:r>
      <w:r w:rsidRPr="000A3A8F">
        <w:rPr>
          <w:rFonts w:ascii="Times New Roman" w:eastAsia="Times New Roman" w:hAnsi="Times New Roman" w:cs="Times New Roman"/>
          <w:color w:val="000000"/>
          <w:sz w:val="24"/>
          <w:szCs w:val="24"/>
          <w:lang w:eastAsia="en-GB"/>
        </w:rPr>
        <w:t xml:space="preserve">rticipating insurance and reinsurance undertakings, insurance holding companies and mixed financial holding companies </w:t>
      </w:r>
      <w:r w:rsidR="007E2BEC">
        <w:rPr>
          <w:rFonts w:ascii="Times New Roman" w:eastAsia="Times New Roman" w:hAnsi="Times New Roman" w:cs="Times New Roman"/>
          <w:color w:val="000000"/>
          <w:sz w:val="24"/>
          <w:szCs w:val="24"/>
          <w:lang w:eastAsia="en-GB"/>
        </w:rPr>
        <w:t>shall be</w:t>
      </w:r>
      <w:r w:rsidR="00853622">
        <w:rPr>
          <w:rFonts w:ascii="Times New Roman" w:eastAsia="Times New Roman" w:hAnsi="Times New Roman" w:cs="Times New Roman"/>
          <w:color w:val="000000"/>
          <w:sz w:val="24"/>
          <w:szCs w:val="24"/>
          <w:lang w:eastAsia="en-GB"/>
        </w:rPr>
        <w:t xml:space="preserve"> responsible for the quality of the information reported and </w:t>
      </w:r>
      <w:r w:rsidRPr="000A3A8F">
        <w:rPr>
          <w:rFonts w:ascii="Times New Roman" w:eastAsia="Times New Roman" w:hAnsi="Times New Roman" w:cs="Times New Roman"/>
          <w:color w:val="000000"/>
          <w:sz w:val="24"/>
          <w:szCs w:val="24"/>
          <w:lang w:eastAsia="en-GB"/>
        </w:rPr>
        <w:t>shall re-submit as soon as practicable the information reported using the templates referred to in this Regulation when</w:t>
      </w:r>
      <w:r w:rsidR="003840E6">
        <w:rPr>
          <w:rFonts w:ascii="Times New Roman" w:eastAsia="Times New Roman" w:hAnsi="Times New Roman" w:cs="Times New Roman"/>
          <w:color w:val="000000"/>
          <w:sz w:val="24"/>
          <w:szCs w:val="24"/>
          <w:lang w:eastAsia="en-GB"/>
        </w:rPr>
        <w:t>:</w:t>
      </w:r>
    </w:p>
    <w:p w14:paraId="2D925553" w14:textId="2115F673" w:rsidR="003840E6" w:rsidRDefault="000A3A8F" w:rsidP="00853267">
      <w:pPr>
        <w:numPr>
          <w:ilvl w:val="0"/>
          <w:numId w:val="1"/>
        </w:num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853267">
        <w:rPr>
          <w:rFonts w:ascii="Times New Roman" w:eastAsia="Times New Roman" w:hAnsi="Times New Roman" w:cs="Times New Roman"/>
          <w:color w:val="000000"/>
          <w:sz w:val="24"/>
          <w:szCs w:val="24"/>
          <w:lang w:eastAsia="en-GB"/>
        </w:rPr>
        <w:lastRenderedPageBreak/>
        <w:t>the information originally reported has materially changed in relation to the same reporting period after the last submission to the supervisory authorities or to the group supervisor</w:t>
      </w:r>
      <w:r w:rsidR="003840E6">
        <w:rPr>
          <w:rFonts w:ascii="Times New Roman" w:eastAsia="Times New Roman" w:hAnsi="Times New Roman" w:cs="Times New Roman"/>
          <w:color w:val="000000"/>
          <w:sz w:val="24"/>
          <w:szCs w:val="24"/>
          <w:lang w:eastAsia="en-GB"/>
        </w:rPr>
        <w:t>; or</w:t>
      </w:r>
    </w:p>
    <w:p w14:paraId="61E016D5" w14:textId="406F32AB" w:rsidR="000A3A8F" w:rsidRDefault="003840E6" w:rsidP="007E2BEC">
      <w:pPr>
        <w:numPr>
          <w:ilvl w:val="0"/>
          <w:numId w:val="1"/>
        </w:numPr>
        <w:shd w:val="clear" w:color="auto" w:fill="FFFFFF"/>
        <w:spacing w:before="120" w:after="0" w:line="240" w:lineRule="auto"/>
        <w:jc w:val="both"/>
        <w:rPr>
          <w:rFonts w:ascii="Times New Roman" w:eastAsia="Times New Roman" w:hAnsi="Times New Roman" w:cs="Times New Roman"/>
          <w:color w:val="000000"/>
          <w:sz w:val="24"/>
          <w:szCs w:val="24"/>
          <w:lang w:eastAsia="en-GB"/>
        </w:rPr>
      </w:pPr>
      <w:proofErr w:type="gramStart"/>
      <w:r>
        <w:rPr>
          <w:rFonts w:ascii="Times New Roman" w:eastAsia="Times New Roman" w:hAnsi="Times New Roman" w:cs="Times New Roman"/>
          <w:color w:val="000000"/>
          <w:sz w:val="24"/>
          <w:szCs w:val="24"/>
          <w:lang w:eastAsia="en-GB"/>
        </w:rPr>
        <w:t>the</w:t>
      </w:r>
      <w:proofErr w:type="gramEnd"/>
      <w:r>
        <w:rPr>
          <w:rFonts w:ascii="Times New Roman" w:eastAsia="Times New Roman" w:hAnsi="Times New Roman" w:cs="Times New Roman"/>
          <w:color w:val="000000"/>
          <w:sz w:val="24"/>
          <w:szCs w:val="24"/>
          <w:lang w:eastAsia="en-GB"/>
        </w:rPr>
        <w:t xml:space="preserve"> supervisory authorit</w:t>
      </w:r>
      <w:r w:rsidR="00696BD4">
        <w:rPr>
          <w:rFonts w:ascii="Times New Roman" w:eastAsia="Times New Roman" w:hAnsi="Times New Roman" w:cs="Times New Roman"/>
          <w:color w:val="000000"/>
          <w:sz w:val="24"/>
          <w:szCs w:val="24"/>
          <w:lang w:eastAsia="en-GB"/>
        </w:rPr>
        <w:t>ies</w:t>
      </w:r>
      <w:r>
        <w:rPr>
          <w:rFonts w:ascii="Times New Roman" w:eastAsia="Times New Roman" w:hAnsi="Times New Roman" w:cs="Times New Roman"/>
          <w:color w:val="000000"/>
          <w:sz w:val="24"/>
          <w:szCs w:val="24"/>
          <w:lang w:eastAsia="en-GB"/>
        </w:rPr>
        <w:t xml:space="preserve"> or </w:t>
      </w:r>
      <w:r w:rsidR="007E2BEC">
        <w:rPr>
          <w:rFonts w:ascii="Times New Roman" w:eastAsia="Times New Roman" w:hAnsi="Times New Roman" w:cs="Times New Roman"/>
          <w:color w:val="000000"/>
          <w:sz w:val="24"/>
          <w:szCs w:val="24"/>
          <w:lang w:eastAsia="en-GB"/>
        </w:rPr>
        <w:t xml:space="preserve">the </w:t>
      </w:r>
      <w:r>
        <w:rPr>
          <w:rFonts w:ascii="Times New Roman" w:eastAsia="Times New Roman" w:hAnsi="Times New Roman" w:cs="Times New Roman"/>
          <w:color w:val="000000"/>
          <w:sz w:val="24"/>
          <w:szCs w:val="24"/>
          <w:lang w:eastAsia="en-GB"/>
        </w:rPr>
        <w:t>group supervisor request it due to material data quality issues</w:t>
      </w:r>
      <w:r w:rsidR="000A3A8F" w:rsidRPr="00853267">
        <w:rPr>
          <w:rFonts w:ascii="Times New Roman" w:eastAsia="Times New Roman" w:hAnsi="Times New Roman" w:cs="Times New Roman"/>
          <w:color w:val="000000"/>
          <w:sz w:val="24"/>
          <w:szCs w:val="24"/>
          <w:lang w:eastAsia="en-GB"/>
        </w:rPr>
        <w:t>.</w:t>
      </w:r>
    </w:p>
    <w:p w14:paraId="6CD8E6BB" w14:textId="1C82D9AD" w:rsidR="00ED2F76" w:rsidRPr="00EC0E08" w:rsidRDefault="00ED2F76" w:rsidP="00ED2F76">
      <w:pPr>
        <w:pStyle w:val="ListParagraph"/>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EC0E08">
        <w:rPr>
          <w:rFonts w:ascii="Times New Roman" w:eastAsia="Times New Roman" w:hAnsi="Times New Roman" w:cs="Times New Roman"/>
          <w:i/>
          <w:iCs/>
          <w:color w:val="000000"/>
          <w:sz w:val="24"/>
          <w:szCs w:val="24"/>
          <w:lang w:eastAsia="en-GB"/>
        </w:rPr>
        <w:t xml:space="preserve">Article </w:t>
      </w:r>
      <w:r w:rsidR="00CD065A">
        <w:rPr>
          <w:rFonts w:ascii="Times New Roman" w:eastAsia="Times New Roman" w:hAnsi="Times New Roman" w:cs="Times New Roman"/>
          <w:i/>
          <w:iCs/>
          <w:color w:val="000000"/>
          <w:sz w:val="24"/>
          <w:szCs w:val="24"/>
          <w:lang w:eastAsia="en-GB"/>
        </w:rPr>
        <w:t>5</w:t>
      </w:r>
    </w:p>
    <w:p w14:paraId="58188FB7" w14:textId="0048E924" w:rsidR="00ED2F76" w:rsidRPr="00EC0E08" w:rsidRDefault="00992897" w:rsidP="00ED2F76">
      <w:pPr>
        <w:pStyle w:val="ListParagraph"/>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EC0E08">
        <w:rPr>
          <w:rFonts w:ascii="Times New Roman" w:eastAsia="Times New Roman" w:hAnsi="Times New Roman" w:cs="Times New Roman"/>
          <w:b/>
          <w:bCs/>
          <w:color w:val="000000"/>
          <w:sz w:val="24"/>
          <w:szCs w:val="24"/>
          <w:lang w:eastAsia="en-GB"/>
        </w:rPr>
        <w:t>Reporting t</w:t>
      </w:r>
      <w:r w:rsidR="00BC3CA4" w:rsidRPr="00EC0E08">
        <w:rPr>
          <w:rFonts w:ascii="Times New Roman" w:eastAsia="Times New Roman" w:hAnsi="Times New Roman" w:cs="Times New Roman"/>
          <w:b/>
          <w:bCs/>
          <w:color w:val="000000"/>
          <w:sz w:val="24"/>
          <w:szCs w:val="24"/>
          <w:lang w:eastAsia="en-GB"/>
        </w:rPr>
        <w:t>hresholds</w:t>
      </w:r>
      <w:r w:rsidR="00325775" w:rsidRPr="00EC0E08">
        <w:rPr>
          <w:rFonts w:ascii="Times New Roman" w:eastAsia="Times New Roman" w:hAnsi="Times New Roman" w:cs="Times New Roman"/>
          <w:b/>
          <w:bCs/>
          <w:color w:val="000000"/>
          <w:sz w:val="24"/>
          <w:szCs w:val="24"/>
          <w:lang w:eastAsia="en-GB"/>
        </w:rPr>
        <w:t xml:space="preserve"> </w:t>
      </w:r>
      <w:r w:rsidR="00BC3CA4" w:rsidRPr="00EC0E08">
        <w:rPr>
          <w:rFonts w:ascii="Times New Roman" w:eastAsia="Times New Roman" w:hAnsi="Times New Roman" w:cs="Times New Roman"/>
          <w:b/>
          <w:bCs/>
          <w:color w:val="000000"/>
          <w:sz w:val="24"/>
          <w:szCs w:val="24"/>
          <w:lang w:eastAsia="en-GB"/>
        </w:rPr>
        <w:t>observ</w:t>
      </w:r>
      <w:r w:rsidR="007F7F6A">
        <w:rPr>
          <w:rFonts w:ascii="Times New Roman" w:eastAsia="Times New Roman" w:hAnsi="Times New Roman" w:cs="Times New Roman"/>
          <w:b/>
          <w:bCs/>
          <w:color w:val="000000"/>
          <w:sz w:val="24"/>
          <w:szCs w:val="24"/>
          <w:lang w:eastAsia="en-GB"/>
        </w:rPr>
        <w:t>ation</w:t>
      </w:r>
      <w:r w:rsidR="00BC3CA4" w:rsidRPr="00EC0E08">
        <w:rPr>
          <w:rFonts w:ascii="Times New Roman" w:eastAsia="Times New Roman" w:hAnsi="Times New Roman" w:cs="Times New Roman"/>
          <w:b/>
          <w:bCs/>
          <w:color w:val="000000"/>
          <w:sz w:val="24"/>
          <w:szCs w:val="24"/>
          <w:lang w:eastAsia="en-GB"/>
        </w:rPr>
        <w:t xml:space="preserve"> period</w:t>
      </w:r>
      <w:r w:rsidR="00073910" w:rsidRPr="00EC0E08">
        <w:rPr>
          <w:rFonts w:ascii="Times New Roman" w:eastAsia="Times New Roman" w:hAnsi="Times New Roman" w:cs="Times New Roman"/>
          <w:b/>
          <w:bCs/>
          <w:color w:val="000000"/>
          <w:sz w:val="24"/>
          <w:szCs w:val="24"/>
          <w:lang w:eastAsia="en-GB"/>
        </w:rPr>
        <w:t xml:space="preserve"> </w:t>
      </w:r>
    </w:p>
    <w:p w14:paraId="3CA5FC52" w14:textId="140D95E3" w:rsidR="00ED2F76" w:rsidRPr="00EC0E08" w:rsidRDefault="00194F01" w:rsidP="00194F01">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EC0E08">
        <w:rPr>
          <w:rFonts w:ascii="Times New Roman" w:eastAsia="Times New Roman" w:hAnsi="Times New Roman" w:cs="Times New Roman"/>
          <w:color w:val="000000"/>
          <w:sz w:val="24"/>
          <w:szCs w:val="24"/>
          <w:lang w:eastAsia="en-GB"/>
        </w:rPr>
        <w:t>1.</w:t>
      </w:r>
      <w:r w:rsidRPr="00EC0E08">
        <w:rPr>
          <w:lang w:eastAsia="en-GB"/>
        </w:rPr>
        <w:t xml:space="preserve"> </w:t>
      </w:r>
      <w:r w:rsidR="00ED2F76" w:rsidRPr="00EC0E08">
        <w:rPr>
          <w:rFonts w:ascii="Times New Roman" w:eastAsia="Times New Roman" w:hAnsi="Times New Roman" w:cs="Times New Roman"/>
          <w:color w:val="000000"/>
          <w:sz w:val="24"/>
          <w:szCs w:val="24"/>
          <w:lang w:eastAsia="en-GB"/>
        </w:rPr>
        <w:t>Insurance and reinsurance undertakings</w:t>
      </w:r>
      <w:r w:rsidR="00021AAB">
        <w:rPr>
          <w:rFonts w:ascii="Times New Roman" w:eastAsia="Times New Roman" w:hAnsi="Times New Roman" w:cs="Times New Roman"/>
          <w:color w:val="000000"/>
          <w:sz w:val="24"/>
          <w:szCs w:val="24"/>
          <w:lang w:eastAsia="en-GB"/>
        </w:rPr>
        <w:t>,</w:t>
      </w:r>
      <w:r w:rsidR="005C0A5F">
        <w:rPr>
          <w:rFonts w:ascii="Times New Roman" w:eastAsia="Times New Roman" w:hAnsi="Times New Roman" w:cs="Times New Roman"/>
          <w:color w:val="000000"/>
          <w:sz w:val="24"/>
          <w:szCs w:val="24"/>
          <w:lang w:eastAsia="en-GB"/>
        </w:rPr>
        <w:t xml:space="preserve"> </w:t>
      </w:r>
      <w:r w:rsidR="005C0A5F" w:rsidRPr="00EC0E08">
        <w:rPr>
          <w:rFonts w:ascii="Times New Roman" w:eastAsia="Times New Roman" w:hAnsi="Times New Roman" w:cs="Times New Roman"/>
          <w:bCs/>
          <w:color w:val="000000"/>
          <w:sz w:val="24"/>
          <w:szCs w:val="24"/>
          <w:lang w:eastAsia="en-GB"/>
        </w:rPr>
        <w:t>captive insurance and captive reinsurance undertakings</w:t>
      </w:r>
      <w:r w:rsidR="00021AAB">
        <w:rPr>
          <w:rFonts w:ascii="Times New Roman" w:eastAsia="Times New Roman" w:hAnsi="Times New Roman" w:cs="Times New Roman"/>
          <w:bCs/>
          <w:color w:val="000000"/>
          <w:sz w:val="24"/>
          <w:szCs w:val="24"/>
          <w:lang w:eastAsia="en-GB"/>
        </w:rPr>
        <w:t>,</w:t>
      </w:r>
      <w:r w:rsidR="00021AAB">
        <w:rPr>
          <w:rFonts w:ascii="Times New Roman" w:eastAsia="Times New Roman" w:hAnsi="Times New Roman" w:cs="Times New Roman"/>
          <w:color w:val="000000"/>
          <w:sz w:val="24"/>
          <w:szCs w:val="24"/>
          <w:lang w:eastAsia="en-GB"/>
        </w:rPr>
        <w:t xml:space="preserve"> p</w:t>
      </w:r>
      <w:r w:rsidR="00021AAB" w:rsidRPr="000A3A8F">
        <w:rPr>
          <w:rFonts w:ascii="Times New Roman" w:eastAsia="Times New Roman" w:hAnsi="Times New Roman" w:cs="Times New Roman"/>
          <w:color w:val="000000"/>
          <w:sz w:val="24"/>
          <w:szCs w:val="24"/>
          <w:lang w:eastAsia="en-GB"/>
        </w:rPr>
        <w:t>articipating insurance and reinsurance undertakings, insurance holding companies and mixed financial holding companies</w:t>
      </w:r>
      <w:r w:rsidR="00021AAB" w:rsidRPr="00EC0E08">
        <w:rPr>
          <w:rFonts w:ascii="Times New Roman" w:eastAsia="Times New Roman" w:hAnsi="Times New Roman" w:cs="Times New Roman"/>
          <w:color w:val="000000"/>
          <w:sz w:val="24"/>
          <w:szCs w:val="24"/>
          <w:lang w:eastAsia="en-GB"/>
        </w:rPr>
        <w:t xml:space="preserve"> </w:t>
      </w:r>
      <w:r w:rsidR="00ED2F76" w:rsidRPr="00EC0E08">
        <w:rPr>
          <w:rFonts w:ascii="Times New Roman" w:eastAsia="Times New Roman" w:hAnsi="Times New Roman" w:cs="Times New Roman"/>
          <w:color w:val="000000"/>
          <w:sz w:val="24"/>
          <w:szCs w:val="24"/>
          <w:lang w:eastAsia="en-GB"/>
        </w:rPr>
        <w:t xml:space="preserve">shall </w:t>
      </w:r>
      <w:r w:rsidR="007F1920" w:rsidRPr="00EC0E08">
        <w:rPr>
          <w:rFonts w:ascii="Times New Roman" w:eastAsia="Times New Roman" w:hAnsi="Times New Roman" w:cs="Times New Roman"/>
          <w:color w:val="000000"/>
          <w:sz w:val="24"/>
          <w:szCs w:val="24"/>
          <w:lang w:eastAsia="en-GB"/>
        </w:rPr>
        <w:t xml:space="preserve">not </w:t>
      </w:r>
      <w:r w:rsidR="00BC3CA4" w:rsidRPr="00EC0E08">
        <w:rPr>
          <w:rFonts w:ascii="Times New Roman" w:eastAsia="Times New Roman" w:hAnsi="Times New Roman" w:cs="Times New Roman"/>
          <w:color w:val="000000"/>
          <w:sz w:val="24"/>
          <w:szCs w:val="24"/>
          <w:lang w:eastAsia="en-GB"/>
        </w:rPr>
        <w:t xml:space="preserve">submit </w:t>
      </w:r>
      <w:r w:rsidR="00745DF6" w:rsidRPr="00EC0E08">
        <w:rPr>
          <w:rFonts w:ascii="Times New Roman" w:eastAsia="Times New Roman" w:hAnsi="Times New Roman" w:cs="Times New Roman"/>
          <w:color w:val="000000"/>
          <w:sz w:val="24"/>
          <w:szCs w:val="24"/>
          <w:lang w:eastAsia="en-GB"/>
        </w:rPr>
        <w:t>the</w:t>
      </w:r>
      <w:r w:rsidR="00BC3CA4" w:rsidRPr="00EC0E08">
        <w:rPr>
          <w:rFonts w:ascii="Times New Roman" w:eastAsia="Times New Roman" w:hAnsi="Times New Roman" w:cs="Times New Roman"/>
          <w:color w:val="000000"/>
          <w:sz w:val="24"/>
          <w:szCs w:val="24"/>
          <w:lang w:eastAsia="en-GB"/>
        </w:rPr>
        <w:t xml:space="preserve"> annual templates to which a </w:t>
      </w:r>
      <w:r w:rsidR="00DC66A0" w:rsidRPr="00EC0E08">
        <w:rPr>
          <w:rFonts w:ascii="Times New Roman" w:eastAsia="Times New Roman" w:hAnsi="Times New Roman" w:cs="Times New Roman"/>
          <w:color w:val="000000"/>
          <w:sz w:val="24"/>
          <w:szCs w:val="24"/>
          <w:lang w:eastAsia="en-GB"/>
        </w:rPr>
        <w:t xml:space="preserve">reporting </w:t>
      </w:r>
      <w:r w:rsidR="00BC3CA4" w:rsidRPr="00EC0E08">
        <w:rPr>
          <w:rFonts w:ascii="Times New Roman" w:eastAsia="Times New Roman" w:hAnsi="Times New Roman" w:cs="Times New Roman"/>
          <w:color w:val="000000"/>
          <w:sz w:val="24"/>
          <w:szCs w:val="24"/>
          <w:lang w:eastAsia="en-GB"/>
        </w:rPr>
        <w:t xml:space="preserve">threshold applies </w:t>
      </w:r>
      <w:r w:rsidR="00DC66A0" w:rsidRPr="00EC0E08">
        <w:rPr>
          <w:rFonts w:ascii="Times New Roman" w:eastAsia="Times New Roman" w:hAnsi="Times New Roman" w:cs="Times New Roman"/>
          <w:color w:val="000000"/>
          <w:sz w:val="24"/>
          <w:szCs w:val="24"/>
          <w:lang w:eastAsia="en-GB"/>
        </w:rPr>
        <w:t>when</w:t>
      </w:r>
      <w:r w:rsidR="00BC3CA4" w:rsidRPr="00EC0E08">
        <w:rPr>
          <w:rFonts w:ascii="Times New Roman" w:eastAsia="Times New Roman" w:hAnsi="Times New Roman" w:cs="Times New Roman"/>
          <w:color w:val="000000"/>
          <w:sz w:val="24"/>
          <w:szCs w:val="24"/>
          <w:lang w:eastAsia="en-GB"/>
        </w:rPr>
        <w:t xml:space="preserve"> th</w:t>
      </w:r>
      <w:r w:rsidR="006A79A5" w:rsidRPr="00EC0E08">
        <w:rPr>
          <w:rFonts w:ascii="Times New Roman" w:eastAsia="Times New Roman" w:hAnsi="Times New Roman" w:cs="Times New Roman"/>
          <w:color w:val="000000"/>
          <w:sz w:val="24"/>
          <w:szCs w:val="24"/>
          <w:lang w:eastAsia="en-GB"/>
        </w:rPr>
        <w:t>at</w:t>
      </w:r>
      <w:r w:rsidR="00BC3CA4" w:rsidRPr="00EC0E08">
        <w:rPr>
          <w:rFonts w:ascii="Times New Roman" w:eastAsia="Times New Roman" w:hAnsi="Times New Roman" w:cs="Times New Roman"/>
          <w:color w:val="000000"/>
          <w:sz w:val="24"/>
          <w:szCs w:val="24"/>
          <w:lang w:eastAsia="en-GB"/>
        </w:rPr>
        <w:t xml:space="preserve"> threshold </w:t>
      </w:r>
      <w:r w:rsidR="00DC66A0" w:rsidRPr="00EC0E08">
        <w:rPr>
          <w:rFonts w:ascii="Times New Roman" w:eastAsia="Times New Roman" w:hAnsi="Times New Roman" w:cs="Times New Roman"/>
          <w:color w:val="000000"/>
          <w:sz w:val="24"/>
          <w:szCs w:val="24"/>
          <w:lang w:eastAsia="en-GB"/>
        </w:rPr>
        <w:t>is</w:t>
      </w:r>
      <w:r w:rsidR="00BC3CA4" w:rsidRPr="00EC0E08">
        <w:rPr>
          <w:rFonts w:ascii="Times New Roman" w:eastAsia="Times New Roman" w:hAnsi="Times New Roman" w:cs="Times New Roman"/>
          <w:color w:val="000000"/>
          <w:sz w:val="24"/>
          <w:szCs w:val="24"/>
          <w:lang w:eastAsia="en-GB"/>
        </w:rPr>
        <w:t xml:space="preserve"> </w:t>
      </w:r>
      <w:r w:rsidR="007F1920" w:rsidRPr="00EC0E08">
        <w:rPr>
          <w:rFonts w:ascii="Times New Roman" w:eastAsia="Times New Roman" w:hAnsi="Times New Roman" w:cs="Times New Roman"/>
          <w:color w:val="000000"/>
          <w:sz w:val="24"/>
          <w:szCs w:val="24"/>
          <w:lang w:eastAsia="en-GB"/>
        </w:rPr>
        <w:t xml:space="preserve">not </w:t>
      </w:r>
      <w:r w:rsidR="00BC3CA4" w:rsidRPr="00EC0E08">
        <w:rPr>
          <w:rFonts w:ascii="Times New Roman" w:eastAsia="Times New Roman" w:hAnsi="Times New Roman" w:cs="Times New Roman"/>
          <w:color w:val="000000"/>
          <w:sz w:val="24"/>
          <w:szCs w:val="24"/>
          <w:lang w:eastAsia="en-GB"/>
        </w:rPr>
        <w:t xml:space="preserve">exceeded </w:t>
      </w:r>
      <w:r w:rsidR="00745DF6" w:rsidRPr="00EC0E08">
        <w:rPr>
          <w:rFonts w:ascii="Times New Roman" w:eastAsia="Times New Roman" w:hAnsi="Times New Roman" w:cs="Times New Roman"/>
          <w:color w:val="000000"/>
          <w:sz w:val="24"/>
          <w:szCs w:val="24"/>
          <w:lang w:eastAsia="en-GB"/>
        </w:rPr>
        <w:t xml:space="preserve">both </w:t>
      </w:r>
      <w:r w:rsidR="00005AC5">
        <w:rPr>
          <w:rFonts w:ascii="Times New Roman" w:eastAsia="Times New Roman" w:hAnsi="Times New Roman" w:cs="Times New Roman"/>
          <w:color w:val="000000"/>
          <w:sz w:val="24"/>
          <w:szCs w:val="24"/>
          <w:lang w:eastAsia="en-GB"/>
        </w:rPr>
        <w:t xml:space="preserve">in </w:t>
      </w:r>
      <w:r w:rsidR="00BC3CA4" w:rsidRPr="00EC0E08">
        <w:rPr>
          <w:rFonts w:ascii="Times New Roman" w:eastAsia="Times New Roman" w:hAnsi="Times New Roman" w:cs="Times New Roman"/>
          <w:color w:val="000000"/>
          <w:sz w:val="24"/>
          <w:szCs w:val="24"/>
          <w:lang w:eastAsia="en-GB"/>
        </w:rPr>
        <w:t>the</w:t>
      </w:r>
      <w:r w:rsidR="00C150E3" w:rsidRPr="00EC0E08">
        <w:rPr>
          <w:rFonts w:ascii="Times New Roman" w:eastAsia="Times New Roman" w:hAnsi="Times New Roman" w:cs="Times New Roman"/>
          <w:color w:val="000000"/>
          <w:sz w:val="24"/>
          <w:szCs w:val="24"/>
          <w:lang w:eastAsia="en-GB"/>
        </w:rPr>
        <w:t xml:space="preserve"> current and</w:t>
      </w:r>
      <w:r w:rsidR="00213F72" w:rsidRPr="00EC0E08">
        <w:rPr>
          <w:rFonts w:ascii="Times New Roman" w:eastAsia="Times New Roman" w:hAnsi="Times New Roman" w:cs="Times New Roman"/>
          <w:color w:val="000000"/>
          <w:sz w:val="24"/>
          <w:szCs w:val="24"/>
          <w:lang w:eastAsia="en-GB"/>
        </w:rPr>
        <w:t xml:space="preserve"> </w:t>
      </w:r>
      <w:r w:rsidR="00C150E3" w:rsidRPr="00EC0E08">
        <w:rPr>
          <w:rFonts w:ascii="Times New Roman" w:eastAsia="Times New Roman" w:hAnsi="Times New Roman" w:cs="Times New Roman"/>
          <w:color w:val="000000"/>
          <w:sz w:val="24"/>
          <w:szCs w:val="24"/>
          <w:lang w:eastAsia="en-GB"/>
        </w:rPr>
        <w:t>the</w:t>
      </w:r>
      <w:r w:rsidR="00BC3CA4" w:rsidRPr="00EC0E08">
        <w:rPr>
          <w:rFonts w:ascii="Times New Roman" w:eastAsia="Times New Roman" w:hAnsi="Times New Roman" w:cs="Times New Roman"/>
          <w:color w:val="000000"/>
          <w:sz w:val="24"/>
          <w:szCs w:val="24"/>
          <w:lang w:eastAsia="en-GB"/>
        </w:rPr>
        <w:t xml:space="preserve"> previous </w:t>
      </w:r>
      <w:r w:rsidR="000B2FE3" w:rsidRPr="00EC0E08">
        <w:rPr>
          <w:rFonts w:ascii="Times New Roman" w:eastAsia="Times New Roman" w:hAnsi="Times New Roman" w:cs="Times New Roman"/>
          <w:color w:val="000000"/>
          <w:sz w:val="24"/>
          <w:szCs w:val="24"/>
          <w:lang w:eastAsia="en-GB"/>
        </w:rPr>
        <w:t xml:space="preserve">reporting </w:t>
      </w:r>
      <w:r w:rsidR="00696BD4" w:rsidRPr="00EC0E08">
        <w:rPr>
          <w:rFonts w:ascii="Times New Roman" w:eastAsia="Times New Roman" w:hAnsi="Times New Roman" w:cs="Times New Roman"/>
          <w:color w:val="000000"/>
          <w:sz w:val="24"/>
          <w:szCs w:val="24"/>
          <w:lang w:eastAsia="en-GB"/>
        </w:rPr>
        <w:t>year</w:t>
      </w:r>
      <w:r w:rsidR="00BC3CA4" w:rsidRPr="00EC0E08">
        <w:rPr>
          <w:rFonts w:ascii="Times New Roman" w:eastAsia="Times New Roman" w:hAnsi="Times New Roman" w:cs="Times New Roman"/>
          <w:color w:val="000000"/>
          <w:sz w:val="24"/>
          <w:szCs w:val="24"/>
          <w:lang w:eastAsia="en-GB"/>
        </w:rPr>
        <w:t>.</w:t>
      </w:r>
    </w:p>
    <w:p w14:paraId="69F0C38A" w14:textId="1D532C35" w:rsidR="007F7F6A" w:rsidRDefault="007F7F6A" w:rsidP="007F7F6A">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2</w:t>
      </w:r>
      <w:r w:rsidR="00194F01" w:rsidRPr="00EC0E08">
        <w:rPr>
          <w:rFonts w:ascii="Times New Roman" w:eastAsia="Times New Roman" w:hAnsi="Times New Roman" w:cs="Times New Roman"/>
          <w:color w:val="000000"/>
          <w:sz w:val="24"/>
          <w:szCs w:val="24"/>
          <w:lang w:eastAsia="en-GB"/>
        </w:rPr>
        <w:t xml:space="preserve">. </w:t>
      </w:r>
      <w:r w:rsidR="00DB3721" w:rsidRPr="00EC0E08">
        <w:rPr>
          <w:rFonts w:ascii="Times New Roman" w:eastAsia="Times New Roman" w:hAnsi="Times New Roman" w:cs="Times New Roman"/>
          <w:color w:val="000000"/>
          <w:sz w:val="24"/>
          <w:szCs w:val="24"/>
          <w:lang w:eastAsia="en-GB"/>
        </w:rPr>
        <w:t>W</w:t>
      </w:r>
      <w:r w:rsidR="002167AD" w:rsidRPr="00EC0E08">
        <w:rPr>
          <w:rFonts w:ascii="Times New Roman" w:eastAsia="Times New Roman" w:hAnsi="Times New Roman" w:cs="Times New Roman"/>
          <w:color w:val="000000"/>
          <w:sz w:val="24"/>
          <w:szCs w:val="24"/>
          <w:lang w:eastAsia="en-GB"/>
        </w:rPr>
        <w:t>ithout</w:t>
      </w:r>
      <w:r w:rsidR="002167AD" w:rsidRPr="00EC0E08" w:rsidDel="004B7086">
        <w:rPr>
          <w:rFonts w:ascii="Times New Roman" w:eastAsia="Times New Roman" w:hAnsi="Times New Roman" w:cs="Times New Roman"/>
          <w:color w:val="000000"/>
          <w:sz w:val="24"/>
          <w:szCs w:val="24"/>
          <w:lang w:eastAsia="en-GB"/>
        </w:rPr>
        <w:t xml:space="preserve"> prejudice to </w:t>
      </w:r>
      <w:r w:rsidR="002167AD" w:rsidRPr="00EC0E08" w:rsidDel="00194F01">
        <w:rPr>
          <w:rFonts w:ascii="Times New Roman" w:eastAsia="Times New Roman" w:hAnsi="Times New Roman" w:cs="Times New Roman"/>
          <w:color w:val="000000"/>
          <w:sz w:val="24"/>
          <w:szCs w:val="24"/>
          <w:lang w:eastAsia="en-GB"/>
        </w:rPr>
        <w:t>paragraph</w:t>
      </w:r>
      <w:r w:rsidR="00DB3721" w:rsidRPr="00EC0E08">
        <w:rPr>
          <w:rFonts w:ascii="Times New Roman" w:eastAsia="Times New Roman" w:hAnsi="Times New Roman" w:cs="Times New Roman"/>
          <w:color w:val="000000"/>
          <w:sz w:val="24"/>
          <w:szCs w:val="24"/>
          <w:lang w:eastAsia="en-GB"/>
        </w:rPr>
        <w:t xml:space="preserve"> 1</w:t>
      </w:r>
      <w:r w:rsidR="002167AD" w:rsidRPr="00EC0E08">
        <w:rPr>
          <w:rFonts w:ascii="Times New Roman" w:eastAsia="Times New Roman" w:hAnsi="Times New Roman" w:cs="Times New Roman"/>
          <w:color w:val="000000"/>
          <w:sz w:val="24"/>
          <w:szCs w:val="24"/>
          <w:lang w:eastAsia="en-GB"/>
        </w:rPr>
        <w:t xml:space="preserve">, </w:t>
      </w:r>
      <w:r w:rsidR="002167AD" w:rsidRPr="00EC0E08" w:rsidDel="00D74F27">
        <w:rPr>
          <w:rFonts w:ascii="Times New Roman" w:eastAsia="Times New Roman" w:hAnsi="Times New Roman" w:cs="Times New Roman"/>
          <w:color w:val="000000"/>
          <w:sz w:val="24"/>
          <w:szCs w:val="24"/>
          <w:lang w:eastAsia="en-GB"/>
        </w:rPr>
        <w:t>i</w:t>
      </w:r>
      <w:r w:rsidR="002167AD" w:rsidRPr="00EC0E08">
        <w:rPr>
          <w:rFonts w:ascii="Times New Roman" w:eastAsia="Times New Roman" w:hAnsi="Times New Roman" w:cs="Times New Roman"/>
          <w:color w:val="000000"/>
          <w:sz w:val="24"/>
          <w:szCs w:val="24"/>
          <w:lang w:eastAsia="en-GB"/>
        </w:rPr>
        <w:t>nsurance and reinsurance undertakings</w:t>
      </w:r>
      <w:r w:rsidR="00E143C3">
        <w:rPr>
          <w:rFonts w:ascii="Times New Roman" w:eastAsia="Times New Roman" w:hAnsi="Times New Roman" w:cs="Times New Roman"/>
          <w:color w:val="000000"/>
          <w:sz w:val="24"/>
          <w:szCs w:val="24"/>
          <w:lang w:eastAsia="en-GB"/>
        </w:rPr>
        <w:t>,</w:t>
      </w:r>
      <w:r w:rsidR="002167AD" w:rsidRPr="00EC0E08">
        <w:rPr>
          <w:rFonts w:ascii="Times New Roman" w:eastAsia="Times New Roman" w:hAnsi="Times New Roman" w:cs="Times New Roman"/>
          <w:color w:val="000000"/>
          <w:sz w:val="24"/>
          <w:szCs w:val="24"/>
          <w:lang w:eastAsia="en-GB"/>
        </w:rPr>
        <w:t xml:space="preserve"> </w:t>
      </w:r>
      <w:r w:rsidR="00E143C3" w:rsidRPr="0090020D">
        <w:rPr>
          <w:rFonts w:ascii="Times New Roman" w:eastAsia="Times New Roman" w:hAnsi="Times New Roman" w:cs="Times New Roman"/>
          <w:color w:val="000000"/>
          <w:sz w:val="24"/>
          <w:szCs w:val="24"/>
          <w:lang w:eastAsia="en-GB"/>
        </w:rPr>
        <w:t>captive insurance and captive reinsurance undertakings, participating insurance and reinsurance undertakings, insurance holding companies and mixed financial holding companies</w:t>
      </w:r>
      <w:r w:rsidR="00E143C3" w:rsidRPr="00E143C3">
        <w:rPr>
          <w:rFonts w:ascii="Times New Roman" w:eastAsia="Times New Roman" w:hAnsi="Times New Roman" w:cs="Times New Roman"/>
          <w:color w:val="000000"/>
          <w:sz w:val="24"/>
          <w:szCs w:val="24"/>
          <w:lang w:eastAsia="en-GB"/>
        </w:rPr>
        <w:t xml:space="preserve"> </w:t>
      </w:r>
      <w:r w:rsidR="002167AD" w:rsidRPr="00EC0E08">
        <w:rPr>
          <w:rFonts w:ascii="Times New Roman" w:eastAsia="Times New Roman" w:hAnsi="Times New Roman" w:cs="Times New Roman"/>
          <w:color w:val="000000"/>
          <w:sz w:val="24"/>
          <w:szCs w:val="24"/>
          <w:lang w:eastAsia="en-GB"/>
        </w:rPr>
        <w:t xml:space="preserve">may </w:t>
      </w:r>
      <w:r w:rsidR="00CA698C" w:rsidRPr="00EC0E08">
        <w:rPr>
          <w:rFonts w:ascii="Times New Roman" w:eastAsia="Times New Roman" w:hAnsi="Times New Roman" w:cs="Times New Roman"/>
          <w:color w:val="000000"/>
          <w:sz w:val="24"/>
          <w:szCs w:val="24"/>
          <w:lang w:eastAsia="en-GB"/>
        </w:rPr>
        <w:t xml:space="preserve">submit, </w:t>
      </w:r>
      <w:r w:rsidR="002167AD" w:rsidRPr="00EC0E08">
        <w:rPr>
          <w:rFonts w:ascii="Times New Roman" w:eastAsia="Times New Roman" w:hAnsi="Times New Roman" w:cs="Times New Roman"/>
          <w:color w:val="000000"/>
          <w:sz w:val="24"/>
          <w:szCs w:val="24"/>
          <w:lang w:eastAsia="en-GB"/>
        </w:rPr>
        <w:t xml:space="preserve">on </w:t>
      </w:r>
      <w:r w:rsidR="00194F01" w:rsidRPr="00EC0E08">
        <w:rPr>
          <w:rFonts w:ascii="Times New Roman" w:eastAsia="Times New Roman" w:hAnsi="Times New Roman" w:cs="Times New Roman"/>
          <w:color w:val="000000"/>
          <w:sz w:val="24"/>
          <w:szCs w:val="24"/>
          <w:lang w:eastAsia="en-GB"/>
        </w:rPr>
        <w:t xml:space="preserve">a </w:t>
      </w:r>
      <w:r w:rsidR="002167AD" w:rsidRPr="00EC0E08">
        <w:rPr>
          <w:rFonts w:ascii="Times New Roman" w:eastAsia="Times New Roman" w:hAnsi="Times New Roman" w:cs="Times New Roman"/>
          <w:color w:val="000000"/>
          <w:sz w:val="24"/>
          <w:szCs w:val="24"/>
          <w:lang w:eastAsia="en-GB"/>
        </w:rPr>
        <w:t xml:space="preserve">voluntary basis, </w:t>
      </w:r>
      <w:r w:rsidR="00CA698C" w:rsidRPr="00EC0E08">
        <w:rPr>
          <w:rFonts w:ascii="Times New Roman" w:eastAsia="Times New Roman" w:hAnsi="Times New Roman" w:cs="Times New Roman"/>
          <w:color w:val="000000"/>
          <w:sz w:val="24"/>
          <w:szCs w:val="24"/>
          <w:lang w:eastAsia="en-GB"/>
        </w:rPr>
        <w:t xml:space="preserve">the annual templates </w:t>
      </w:r>
      <w:r w:rsidR="00C4577F" w:rsidRPr="00EC0E08">
        <w:rPr>
          <w:rFonts w:ascii="Times New Roman" w:eastAsia="Times New Roman" w:hAnsi="Times New Roman" w:cs="Times New Roman"/>
          <w:color w:val="000000"/>
          <w:sz w:val="24"/>
          <w:szCs w:val="24"/>
          <w:lang w:eastAsia="en-GB"/>
        </w:rPr>
        <w:t>when</w:t>
      </w:r>
      <w:r w:rsidR="00CA698C" w:rsidRPr="00EC0E08">
        <w:rPr>
          <w:rFonts w:ascii="Times New Roman" w:eastAsia="Times New Roman" w:hAnsi="Times New Roman" w:cs="Times New Roman"/>
          <w:color w:val="000000"/>
          <w:sz w:val="24"/>
          <w:szCs w:val="24"/>
          <w:lang w:eastAsia="en-GB"/>
        </w:rPr>
        <w:t xml:space="preserve"> the applicable </w:t>
      </w:r>
      <w:r w:rsidR="006A79A5" w:rsidRPr="00EC0E08">
        <w:rPr>
          <w:rFonts w:ascii="Times New Roman" w:eastAsia="Times New Roman" w:hAnsi="Times New Roman" w:cs="Times New Roman"/>
          <w:color w:val="000000"/>
          <w:sz w:val="24"/>
          <w:szCs w:val="24"/>
          <w:lang w:eastAsia="en-GB"/>
        </w:rPr>
        <w:t xml:space="preserve">reporting </w:t>
      </w:r>
      <w:r w:rsidR="00CA698C" w:rsidRPr="00EC0E08">
        <w:rPr>
          <w:rFonts w:ascii="Times New Roman" w:eastAsia="Times New Roman" w:hAnsi="Times New Roman" w:cs="Times New Roman"/>
          <w:color w:val="000000"/>
          <w:sz w:val="24"/>
          <w:szCs w:val="24"/>
          <w:lang w:eastAsia="en-GB"/>
        </w:rPr>
        <w:t>threshold</w:t>
      </w:r>
      <w:r w:rsidR="00051886" w:rsidRPr="00EC0E08">
        <w:rPr>
          <w:rFonts w:ascii="Times New Roman" w:eastAsia="Times New Roman" w:hAnsi="Times New Roman" w:cs="Times New Roman"/>
          <w:color w:val="000000"/>
          <w:sz w:val="24"/>
          <w:szCs w:val="24"/>
          <w:lang w:eastAsia="en-GB"/>
        </w:rPr>
        <w:t xml:space="preserve"> </w:t>
      </w:r>
      <w:r w:rsidR="00051886" w:rsidRPr="00EC0E08" w:rsidDel="00570213">
        <w:rPr>
          <w:rFonts w:ascii="Times New Roman" w:eastAsia="Times New Roman" w:hAnsi="Times New Roman" w:cs="Times New Roman"/>
          <w:color w:val="000000"/>
          <w:sz w:val="24"/>
          <w:szCs w:val="24"/>
          <w:lang w:eastAsia="en-GB"/>
        </w:rPr>
        <w:t>has not been</w:t>
      </w:r>
      <w:r w:rsidR="00CA698C" w:rsidRPr="00EC0E08">
        <w:rPr>
          <w:rFonts w:ascii="Times New Roman" w:eastAsia="Times New Roman" w:hAnsi="Times New Roman" w:cs="Times New Roman"/>
          <w:color w:val="000000"/>
          <w:sz w:val="24"/>
          <w:szCs w:val="24"/>
          <w:lang w:eastAsia="en-GB"/>
        </w:rPr>
        <w:t xml:space="preserve"> exceeded </w:t>
      </w:r>
      <w:r w:rsidR="00005AC5" w:rsidRPr="00005AC5">
        <w:rPr>
          <w:rFonts w:ascii="Times New Roman" w:eastAsia="Times New Roman" w:hAnsi="Times New Roman" w:cs="Times New Roman"/>
          <w:color w:val="000000"/>
          <w:sz w:val="24"/>
          <w:szCs w:val="24"/>
          <w:lang w:eastAsia="en-GB"/>
        </w:rPr>
        <w:t>in both the current and the previous reporting year</w:t>
      </w:r>
      <w:r w:rsidR="00CA698C" w:rsidRPr="00EC0E08">
        <w:rPr>
          <w:rFonts w:ascii="Times New Roman" w:eastAsia="Times New Roman" w:hAnsi="Times New Roman" w:cs="Times New Roman"/>
          <w:color w:val="000000"/>
          <w:sz w:val="24"/>
          <w:szCs w:val="24"/>
          <w:lang w:eastAsia="en-GB"/>
        </w:rPr>
        <w:t>.</w:t>
      </w:r>
      <w:r w:rsidRPr="007F7F6A">
        <w:rPr>
          <w:rFonts w:ascii="Times New Roman" w:eastAsia="Times New Roman" w:hAnsi="Times New Roman" w:cs="Times New Roman"/>
          <w:color w:val="000000"/>
          <w:sz w:val="24"/>
          <w:szCs w:val="24"/>
          <w:lang w:eastAsia="en-GB"/>
        </w:rPr>
        <w:t xml:space="preserve"> </w:t>
      </w:r>
    </w:p>
    <w:p w14:paraId="447C14DE" w14:textId="4F814F1E" w:rsidR="007F7F6A" w:rsidRPr="00EC0E08" w:rsidRDefault="007F7F6A" w:rsidP="007F7F6A">
      <w:pPr>
        <w:pStyle w:val="ListParagraph"/>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EC0E08">
        <w:rPr>
          <w:rFonts w:ascii="Times New Roman" w:eastAsia="Times New Roman" w:hAnsi="Times New Roman" w:cs="Times New Roman"/>
          <w:i/>
          <w:iCs/>
          <w:color w:val="000000"/>
          <w:sz w:val="24"/>
          <w:szCs w:val="24"/>
          <w:lang w:eastAsia="en-GB"/>
        </w:rPr>
        <w:t xml:space="preserve">Article </w:t>
      </w:r>
      <w:r w:rsidR="00CD065A">
        <w:rPr>
          <w:rFonts w:ascii="Times New Roman" w:eastAsia="Times New Roman" w:hAnsi="Times New Roman" w:cs="Times New Roman"/>
          <w:i/>
          <w:iCs/>
          <w:color w:val="000000"/>
          <w:sz w:val="24"/>
          <w:szCs w:val="24"/>
          <w:lang w:eastAsia="en-GB"/>
        </w:rPr>
        <w:t>6</w:t>
      </w:r>
    </w:p>
    <w:p w14:paraId="69A041BE" w14:textId="2FDB0A2D" w:rsidR="007F7F6A" w:rsidRDefault="007F7F6A" w:rsidP="00021AAB">
      <w:pPr>
        <w:pStyle w:val="ListParagraph"/>
        <w:shd w:val="clear" w:color="auto" w:fill="FFFFFF"/>
        <w:spacing w:before="60" w:after="120" w:line="240" w:lineRule="auto"/>
        <w:jc w:val="center"/>
        <w:rPr>
          <w:rFonts w:ascii="Times New Roman" w:eastAsia="Times New Roman" w:hAnsi="Times New Roman" w:cs="Times New Roman"/>
          <w:color w:val="000000"/>
          <w:sz w:val="24"/>
          <w:szCs w:val="24"/>
          <w:lang w:eastAsia="en-GB"/>
        </w:rPr>
      </w:pPr>
      <w:r w:rsidRPr="00EC0E08">
        <w:rPr>
          <w:rFonts w:ascii="Times New Roman" w:eastAsia="Times New Roman" w:hAnsi="Times New Roman" w:cs="Times New Roman"/>
          <w:b/>
          <w:bCs/>
          <w:color w:val="000000"/>
          <w:sz w:val="24"/>
          <w:szCs w:val="24"/>
          <w:lang w:eastAsia="en-GB"/>
        </w:rPr>
        <w:t xml:space="preserve">Reporting thresholds application </w:t>
      </w:r>
    </w:p>
    <w:p w14:paraId="30BD0F08" w14:textId="30AD19AA" w:rsidR="007F7F6A" w:rsidRDefault="007F7F6A" w:rsidP="007F7F6A">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1</w:t>
      </w:r>
      <w:r w:rsidRPr="00EC0E08">
        <w:rPr>
          <w:rFonts w:ascii="Times New Roman" w:eastAsia="Times New Roman" w:hAnsi="Times New Roman" w:cs="Times New Roman"/>
          <w:color w:val="000000"/>
          <w:sz w:val="24"/>
          <w:szCs w:val="24"/>
          <w:lang w:eastAsia="en-GB"/>
        </w:rPr>
        <w:t xml:space="preserve">. When </w:t>
      </w:r>
      <w:r w:rsidRPr="00EC0E08" w:rsidDel="00D74F27">
        <w:rPr>
          <w:rFonts w:ascii="Times New Roman" w:eastAsia="Times New Roman" w:hAnsi="Times New Roman" w:cs="Times New Roman"/>
          <w:color w:val="000000"/>
          <w:sz w:val="24"/>
          <w:szCs w:val="24"/>
          <w:lang w:eastAsia="en-GB"/>
        </w:rPr>
        <w:t>i</w:t>
      </w:r>
      <w:r w:rsidRPr="00EC0E08">
        <w:rPr>
          <w:rFonts w:ascii="Times New Roman" w:eastAsia="Times New Roman" w:hAnsi="Times New Roman" w:cs="Times New Roman"/>
          <w:color w:val="000000"/>
          <w:sz w:val="24"/>
          <w:szCs w:val="24"/>
          <w:lang w:eastAsia="en-GB"/>
        </w:rPr>
        <w:t>nsurance and reinsurance undertakings</w:t>
      </w:r>
      <w:r w:rsidR="00021AAB">
        <w:rPr>
          <w:rFonts w:ascii="Times New Roman" w:eastAsia="Times New Roman" w:hAnsi="Times New Roman"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t>
      </w:r>
      <w:r w:rsidRPr="00EC0E08">
        <w:rPr>
          <w:rFonts w:ascii="Times New Roman" w:eastAsia="Times New Roman" w:hAnsi="Times New Roman" w:cs="Times New Roman"/>
          <w:bCs/>
          <w:color w:val="000000"/>
          <w:sz w:val="24"/>
          <w:szCs w:val="24"/>
          <w:lang w:eastAsia="en-GB"/>
        </w:rPr>
        <w:t>captive insurance and captive reinsurance undertakings</w:t>
      </w:r>
      <w:r w:rsidR="00021AAB">
        <w:rPr>
          <w:rFonts w:ascii="Times New Roman" w:eastAsia="Times New Roman" w:hAnsi="Times New Roman" w:cs="Times New Roman"/>
          <w:bCs/>
          <w:color w:val="000000"/>
          <w:sz w:val="24"/>
          <w:szCs w:val="24"/>
          <w:lang w:eastAsia="en-GB"/>
        </w:rPr>
        <w:t>, p</w:t>
      </w:r>
      <w:r w:rsidR="00021AAB" w:rsidRPr="000A3A8F">
        <w:rPr>
          <w:rFonts w:ascii="Times New Roman" w:eastAsia="Times New Roman" w:hAnsi="Times New Roman" w:cs="Times New Roman"/>
          <w:color w:val="000000"/>
          <w:sz w:val="24"/>
          <w:szCs w:val="24"/>
          <w:lang w:eastAsia="en-GB"/>
        </w:rPr>
        <w:t>articipating insurance and reinsurance undertakings, insurance holding companies and mixed financial holding companies</w:t>
      </w:r>
      <w:r w:rsidRPr="00EC0E08">
        <w:rPr>
          <w:rFonts w:ascii="Times New Roman" w:eastAsia="Times New Roman" w:hAnsi="Times New Roman" w:cs="Times New Roman"/>
          <w:color w:val="000000"/>
          <w:sz w:val="24"/>
          <w:szCs w:val="24"/>
          <w:lang w:eastAsia="en-GB"/>
        </w:rPr>
        <w:t xml:space="preserve"> do not exceed the </w:t>
      </w:r>
      <w:r w:rsidR="00005AC5">
        <w:rPr>
          <w:rFonts w:ascii="Times New Roman" w:eastAsia="Times New Roman" w:hAnsi="Times New Roman" w:cs="Times New Roman"/>
          <w:color w:val="000000"/>
          <w:sz w:val="24"/>
          <w:szCs w:val="24"/>
          <w:lang w:eastAsia="en-GB"/>
        </w:rPr>
        <w:t xml:space="preserve">applicable </w:t>
      </w:r>
      <w:r w:rsidRPr="00EC0E08">
        <w:rPr>
          <w:rFonts w:ascii="Times New Roman" w:eastAsia="Times New Roman" w:hAnsi="Times New Roman" w:cs="Times New Roman"/>
          <w:color w:val="000000"/>
          <w:sz w:val="24"/>
          <w:szCs w:val="24"/>
          <w:lang w:eastAsia="en-GB"/>
        </w:rPr>
        <w:t xml:space="preserve">reporting thresholds </w:t>
      </w:r>
      <w:r>
        <w:rPr>
          <w:rFonts w:ascii="Times New Roman" w:eastAsia="Times New Roman" w:hAnsi="Times New Roman" w:cs="Times New Roman"/>
          <w:color w:val="000000"/>
          <w:sz w:val="24"/>
          <w:szCs w:val="24"/>
          <w:lang w:eastAsia="en-GB"/>
        </w:rPr>
        <w:t>during the observ</w:t>
      </w:r>
      <w:r w:rsidR="00005AC5">
        <w:rPr>
          <w:rFonts w:ascii="Times New Roman" w:eastAsia="Times New Roman" w:hAnsi="Times New Roman" w:cs="Times New Roman"/>
          <w:color w:val="000000"/>
          <w:sz w:val="24"/>
          <w:szCs w:val="24"/>
          <w:lang w:eastAsia="en-GB"/>
        </w:rPr>
        <w:t>ation</w:t>
      </w:r>
      <w:r>
        <w:rPr>
          <w:rFonts w:ascii="Times New Roman" w:eastAsia="Times New Roman" w:hAnsi="Times New Roman" w:cs="Times New Roman"/>
          <w:color w:val="000000"/>
          <w:sz w:val="24"/>
          <w:szCs w:val="24"/>
          <w:lang w:eastAsia="en-GB"/>
        </w:rPr>
        <w:t xml:space="preserve"> period defined</w:t>
      </w:r>
      <w:r w:rsidRPr="00EC0E08">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in </w:t>
      </w:r>
      <w:r w:rsidR="00BB0AEE">
        <w:rPr>
          <w:rFonts w:ascii="Times New Roman" w:eastAsia="Times New Roman" w:hAnsi="Times New Roman" w:cs="Times New Roman"/>
          <w:color w:val="000000"/>
          <w:sz w:val="24"/>
          <w:szCs w:val="24"/>
          <w:lang w:eastAsia="en-GB"/>
        </w:rPr>
        <w:t>A</w:t>
      </w:r>
      <w:r w:rsidR="006E2E86">
        <w:rPr>
          <w:rFonts w:ascii="Times New Roman" w:eastAsia="Times New Roman" w:hAnsi="Times New Roman" w:cs="Times New Roman"/>
          <w:color w:val="000000"/>
          <w:sz w:val="24"/>
          <w:szCs w:val="24"/>
          <w:lang w:eastAsia="en-GB"/>
        </w:rPr>
        <w:t>rticle</w:t>
      </w:r>
      <w:r w:rsidR="00005AC5">
        <w:rPr>
          <w:rFonts w:ascii="Times New Roman" w:eastAsia="Times New Roman" w:hAnsi="Times New Roman" w:cs="Times New Roman"/>
          <w:color w:val="000000"/>
          <w:sz w:val="24"/>
          <w:szCs w:val="24"/>
          <w:lang w:eastAsia="en-GB"/>
        </w:rPr>
        <w:t xml:space="preserve"> </w:t>
      </w:r>
      <w:r w:rsidR="00BB0AEE">
        <w:rPr>
          <w:rFonts w:ascii="Times New Roman" w:eastAsia="Times New Roman" w:hAnsi="Times New Roman" w:cs="Times New Roman"/>
          <w:color w:val="000000"/>
          <w:sz w:val="24"/>
          <w:szCs w:val="24"/>
          <w:lang w:eastAsia="en-GB"/>
        </w:rPr>
        <w:t>5 of this Regulation</w:t>
      </w:r>
      <w:r w:rsidRPr="00EC0E08">
        <w:rPr>
          <w:rFonts w:ascii="Times New Roman" w:eastAsia="Times New Roman" w:hAnsi="Times New Roman" w:cs="Times New Roman"/>
          <w:color w:val="000000"/>
          <w:sz w:val="24"/>
          <w:szCs w:val="24"/>
          <w:lang w:eastAsia="en-GB"/>
        </w:rPr>
        <w:t xml:space="preserve">, they shall be exempted from reporting the </w:t>
      </w:r>
      <w:r w:rsidR="00005AC5">
        <w:rPr>
          <w:rFonts w:ascii="Times New Roman" w:eastAsia="Times New Roman" w:hAnsi="Times New Roman" w:cs="Times New Roman"/>
          <w:color w:val="000000"/>
          <w:sz w:val="24"/>
          <w:szCs w:val="24"/>
          <w:lang w:eastAsia="en-GB"/>
        </w:rPr>
        <w:t>annual</w:t>
      </w:r>
      <w:r w:rsidRPr="00EC0E08">
        <w:rPr>
          <w:rFonts w:ascii="Times New Roman" w:eastAsia="Times New Roman" w:hAnsi="Times New Roman" w:cs="Times New Roman"/>
          <w:color w:val="000000"/>
          <w:sz w:val="24"/>
          <w:szCs w:val="24"/>
          <w:lang w:eastAsia="en-GB"/>
        </w:rPr>
        <w:t xml:space="preserve"> template</w:t>
      </w:r>
      <w:r w:rsidR="00005AC5">
        <w:rPr>
          <w:rFonts w:ascii="Times New Roman" w:eastAsia="Times New Roman" w:hAnsi="Times New Roman" w:cs="Times New Roman"/>
          <w:color w:val="000000"/>
          <w:sz w:val="24"/>
          <w:szCs w:val="24"/>
          <w:lang w:eastAsia="en-GB"/>
        </w:rPr>
        <w:t>s concerned</w:t>
      </w:r>
      <w:r w:rsidRPr="00EC0E08">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for the current and </w:t>
      </w:r>
      <w:r w:rsidR="00005AC5">
        <w:rPr>
          <w:rFonts w:ascii="Times New Roman" w:eastAsia="Times New Roman" w:hAnsi="Times New Roman" w:cs="Times New Roman"/>
          <w:color w:val="000000"/>
          <w:sz w:val="24"/>
          <w:szCs w:val="24"/>
          <w:lang w:eastAsia="en-GB"/>
        </w:rPr>
        <w:t>the</w:t>
      </w:r>
      <w:r>
        <w:rPr>
          <w:rFonts w:ascii="Times New Roman" w:eastAsia="Times New Roman" w:hAnsi="Times New Roman" w:cs="Times New Roman"/>
          <w:color w:val="000000"/>
          <w:sz w:val="24"/>
          <w:szCs w:val="24"/>
          <w:lang w:eastAsia="en-GB"/>
        </w:rPr>
        <w:t xml:space="preserve"> following </w:t>
      </w:r>
      <w:r w:rsidRPr="00EC0E08">
        <w:rPr>
          <w:rFonts w:ascii="Times New Roman" w:eastAsia="Times New Roman" w:hAnsi="Times New Roman" w:cs="Times New Roman"/>
          <w:color w:val="000000"/>
          <w:sz w:val="24"/>
          <w:szCs w:val="24"/>
          <w:lang w:eastAsia="en-GB"/>
        </w:rPr>
        <w:t xml:space="preserve">reporting year. </w:t>
      </w:r>
    </w:p>
    <w:p w14:paraId="5FF67913" w14:textId="4F195149" w:rsidR="007F7F6A" w:rsidRPr="00EC0E08" w:rsidRDefault="007F7F6A" w:rsidP="007F7F6A">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EC0E08">
        <w:rPr>
          <w:rFonts w:ascii="Times New Roman" w:eastAsia="Times New Roman" w:hAnsi="Times New Roman" w:cs="Times New Roman"/>
          <w:color w:val="000000"/>
          <w:sz w:val="24"/>
          <w:szCs w:val="24"/>
          <w:lang w:eastAsia="en-GB"/>
        </w:rPr>
        <w:t xml:space="preserve">2. When </w:t>
      </w:r>
      <w:r w:rsidRPr="00EC0E08" w:rsidDel="00D74F27">
        <w:rPr>
          <w:rFonts w:ascii="Times New Roman" w:eastAsia="Times New Roman" w:hAnsi="Times New Roman" w:cs="Times New Roman"/>
          <w:color w:val="000000"/>
          <w:sz w:val="24"/>
          <w:szCs w:val="24"/>
          <w:lang w:eastAsia="en-GB"/>
        </w:rPr>
        <w:t>i</w:t>
      </w:r>
      <w:r w:rsidRPr="00EC0E08">
        <w:rPr>
          <w:rFonts w:ascii="Times New Roman" w:eastAsia="Times New Roman" w:hAnsi="Times New Roman" w:cs="Times New Roman"/>
          <w:color w:val="000000"/>
          <w:sz w:val="24"/>
          <w:szCs w:val="24"/>
          <w:lang w:eastAsia="en-GB"/>
        </w:rPr>
        <w:t>nsurance and reinsurance undertakings</w:t>
      </w:r>
      <w:r w:rsidR="00E143C3">
        <w:rPr>
          <w:rFonts w:ascii="Times New Roman" w:eastAsia="Times New Roman" w:hAnsi="Times New Roman" w:cs="Times New Roman"/>
          <w:color w:val="000000"/>
          <w:sz w:val="24"/>
          <w:szCs w:val="24"/>
          <w:lang w:eastAsia="en-GB"/>
        </w:rPr>
        <w:t>,</w:t>
      </w:r>
      <w:r w:rsidR="004805FD">
        <w:rPr>
          <w:rFonts w:ascii="Times New Roman" w:eastAsia="Times New Roman" w:hAnsi="Times New Roman" w:cs="Times New Roman"/>
          <w:color w:val="000000"/>
          <w:sz w:val="24"/>
          <w:szCs w:val="24"/>
          <w:lang w:eastAsia="en-GB"/>
        </w:rPr>
        <w:t xml:space="preserve"> </w:t>
      </w:r>
      <w:r w:rsidRPr="00EC0E08">
        <w:rPr>
          <w:rFonts w:ascii="Times New Roman" w:eastAsia="Times New Roman" w:hAnsi="Times New Roman" w:cs="Times New Roman"/>
          <w:bCs/>
          <w:color w:val="000000"/>
          <w:sz w:val="24"/>
          <w:szCs w:val="24"/>
          <w:lang w:eastAsia="en-GB"/>
        </w:rPr>
        <w:t>captive insurance and captive reinsurance undertakings</w:t>
      </w:r>
      <w:r w:rsidR="00E143C3">
        <w:rPr>
          <w:rFonts w:ascii="Times New Roman" w:eastAsia="Times New Roman" w:hAnsi="Times New Roman" w:cs="Times New Roman"/>
          <w:bCs/>
          <w:color w:val="000000"/>
          <w:sz w:val="24"/>
          <w:szCs w:val="24"/>
          <w:lang w:eastAsia="en-GB"/>
        </w:rPr>
        <w:t xml:space="preserve">, </w:t>
      </w:r>
      <w:r w:rsidR="00E143C3" w:rsidRPr="0090020D">
        <w:rPr>
          <w:rFonts w:ascii="Times New Roman" w:eastAsia="Times New Roman" w:hAnsi="Times New Roman" w:cs="Times New Roman"/>
          <w:bCs/>
          <w:color w:val="000000"/>
          <w:sz w:val="24"/>
          <w:szCs w:val="24"/>
          <w:lang w:eastAsia="en-GB"/>
        </w:rPr>
        <w:t>p</w:t>
      </w:r>
      <w:r w:rsidR="00E143C3" w:rsidRPr="0090020D">
        <w:rPr>
          <w:rFonts w:ascii="Times New Roman" w:eastAsia="Times New Roman" w:hAnsi="Times New Roman" w:cs="Times New Roman"/>
          <w:color w:val="000000"/>
          <w:sz w:val="24"/>
          <w:szCs w:val="24"/>
          <w:lang w:eastAsia="en-GB"/>
        </w:rPr>
        <w:t>articipating insurance and reinsurance undertakings, insurance holding companies and mixed financial holding companies</w:t>
      </w:r>
      <w:r w:rsidRPr="00EC0E08">
        <w:rPr>
          <w:rFonts w:ascii="Times New Roman" w:eastAsia="Times New Roman" w:hAnsi="Times New Roman" w:cs="Times New Roman"/>
          <w:color w:val="000000"/>
          <w:sz w:val="24"/>
          <w:szCs w:val="24"/>
          <w:lang w:eastAsia="en-GB"/>
        </w:rPr>
        <w:t xml:space="preserve"> exceed the </w:t>
      </w:r>
      <w:r w:rsidR="00005AC5">
        <w:rPr>
          <w:rFonts w:ascii="Times New Roman" w:eastAsia="Times New Roman" w:hAnsi="Times New Roman" w:cs="Times New Roman"/>
          <w:color w:val="000000"/>
          <w:sz w:val="24"/>
          <w:szCs w:val="24"/>
          <w:lang w:eastAsia="en-GB"/>
        </w:rPr>
        <w:t xml:space="preserve">applicable </w:t>
      </w:r>
      <w:r w:rsidRPr="00EC0E08">
        <w:rPr>
          <w:rFonts w:ascii="Times New Roman" w:eastAsia="Times New Roman" w:hAnsi="Times New Roman" w:cs="Times New Roman"/>
          <w:color w:val="000000"/>
          <w:sz w:val="24"/>
          <w:szCs w:val="24"/>
          <w:lang w:eastAsia="en-GB"/>
        </w:rPr>
        <w:t xml:space="preserve">reporting thresholds </w:t>
      </w:r>
      <w:r>
        <w:rPr>
          <w:rFonts w:ascii="Times New Roman" w:eastAsia="Times New Roman" w:hAnsi="Times New Roman" w:cs="Times New Roman"/>
          <w:color w:val="000000"/>
          <w:sz w:val="24"/>
          <w:szCs w:val="24"/>
          <w:lang w:eastAsia="en-GB"/>
        </w:rPr>
        <w:t>during the observ</w:t>
      </w:r>
      <w:r w:rsidR="00005AC5">
        <w:rPr>
          <w:rFonts w:ascii="Times New Roman" w:eastAsia="Times New Roman" w:hAnsi="Times New Roman" w:cs="Times New Roman"/>
          <w:color w:val="000000"/>
          <w:sz w:val="24"/>
          <w:szCs w:val="24"/>
          <w:lang w:eastAsia="en-GB"/>
        </w:rPr>
        <w:t>ation</w:t>
      </w:r>
      <w:r>
        <w:rPr>
          <w:rFonts w:ascii="Times New Roman" w:eastAsia="Times New Roman" w:hAnsi="Times New Roman" w:cs="Times New Roman"/>
          <w:color w:val="000000"/>
          <w:sz w:val="24"/>
          <w:szCs w:val="24"/>
          <w:lang w:eastAsia="en-GB"/>
        </w:rPr>
        <w:t xml:space="preserve"> period defined</w:t>
      </w:r>
      <w:r w:rsidRPr="00EC0E08">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in </w:t>
      </w:r>
      <w:r w:rsidR="00BB0AEE">
        <w:rPr>
          <w:rFonts w:ascii="Times New Roman" w:eastAsia="Times New Roman" w:hAnsi="Times New Roman" w:cs="Times New Roman"/>
          <w:color w:val="000000"/>
          <w:sz w:val="24"/>
          <w:szCs w:val="24"/>
          <w:lang w:eastAsia="en-GB"/>
        </w:rPr>
        <w:t>A</w:t>
      </w:r>
      <w:r w:rsidR="006E2E86">
        <w:rPr>
          <w:rFonts w:ascii="Times New Roman" w:eastAsia="Times New Roman" w:hAnsi="Times New Roman" w:cs="Times New Roman"/>
          <w:color w:val="000000"/>
          <w:sz w:val="24"/>
          <w:szCs w:val="24"/>
          <w:lang w:eastAsia="en-GB"/>
        </w:rPr>
        <w:t>rticle</w:t>
      </w:r>
      <w:r w:rsidR="00005AC5">
        <w:rPr>
          <w:rFonts w:ascii="Times New Roman" w:eastAsia="Times New Roman" w:hAnsi="Times New Roman" w:cs="Times New Roman"/>
          <w:color w:val="000000"/>
          <w:sz w:val="24"/>
          <w:szCs w:val="24"/>
          <w:lang w:eastAsia="en-GB"/>
        </w:rPr>
        <w:t xml:space="preserve"> </w:t>
      </w:r>
      <w:r w:rsidR="00BB0AEE">
        <w:rPr>
          <w:rFonts w:ascii="Times New Roman" w:eastAsia="Times New Roman" w:hAnsi="Times New Roman" w:cs="Times New Roman"/>
          <w:color w:val="000000"/>
          <w:sz w:val="24"/>
          <w:szCs w:val="24"/>
          <w:lang w:eastAsia="en-GB"/>
        </w:rPr>
        <w:t>5 of this Regulation</w:t>
      </w:r>
      <w:r w:rsidRPr="00EC0E08">
        <w:rPr>
          <w:rFonts w:ascii="Times New Roman" w:eastAsia="Times New Roman" w:hAnsi="Times New Roman" w:cs="Times New Roman"/>
          <w:color w:val="000000"/>
          <w:sz w:val="24"/>
          <w:szCs w:val="24"/>
          <w:lang w:eastAsia="en-GB"/>
        </w:rPr>
        <w:t xml:space="preserve">, they shall </w:t>
      </w:r>
      <w:r>
        <w:rPr>
          <w:rFonts w:ascii="Times New Roman" w:eastAsia="Times New Roman" w:hAnsi="Times New Roman" w:cs="Times New Roman"/>
          <w:color w:val="000000"/>
          <w:sz w:val="24"/>
          <w:szCs w:val="24"/>
          <w:lang w:eastAsia="en-GB"/>
        </w:rPr>
        <w:t xml:space="preserve">report </w:t>
      </w:r>
      <w:r w:rsidRPr="00EC0E08">
        <w:rPr>
          <w:rFonts w:ascii="Times New Roman" w:eastAsia="Times New Roman" w:hAnsi="Times New Roman" w:cs="Times New Roman"/>
          <w:color w:val="000000"/>
          <w:sz w:val="24"/>
          <w:szCs w:val="24"/>
          <w:lang w:eastAsia="en-GB"/>
        </w:rPr>
        <w:t xml:space="preserve">the </w:t>
      </w:r>
      <w:r w:rsidR="00005AC5">
        <w:rPr>
          <w:rFonts w:ascii="Times New Roman" w:eastAsia="Times New Roman" w:hAnsi="Times New Roman" w:cs="Times New Roman"/>
          <w:color w:val="000000"/>
          <w:sz w:val="24"/>
          <w:szCs w:val="24"/>
          <w:lang w:eastAsia="en-GB"/>
        </w:rPr>
        <w:t>annual</w:t>
      </w:r>
      <w:r w:rsidRPr="00EC0E08">
        <w:rPr>
          <w:rFonts w:ascii="Times New Roman" w:eastAsia="Times New Roman" w:hAnsi="Times New Roman" w:cs="Times New Roman"/>
          <w:color w:val="000000"/>
          <w:sz w:val="24"/>
          <w:szCs w:val="24"/>
          <w:lang w:eastAsia="en-GB"/>
        </w:rPr>
        <w:t xml:space="preserve"> template</w:t>
      </w:r>
      <w:r w:rsidR="00005AC5">
        <w:rPr>
          <w:rFonts w:ascii="Times New Roman" w:eastAsia="Times New Roman" w:hAnsi="Times New Roman" w:cs="Times New Roman"/>
          <w:color w:val="000000"/>
          <w:sz w:val="24"/>
          <w:szCs w:val="24"/>
          <w:lang w:eastAsia="en-GB"/>
        </w:rPr>
        <w:t>s concerned</w:t>
      </w:r>
      <w:r w:rsidRPr="00EC0E08">
        <w:rPr>
          <w:rFonts w:ascii="Times New Roman" w:eastAsia="Times New Roman" w:hAnsi="Times New Roman" w:cs="Times New Roman"/>
          <w:color w:val="000000"/>
          <w:sz w:val="24"/>
          <w:szCs w:val="24"/>
          <w:lang w:eastAsia="en-GB"/>
        </w:rPr>
        <w:t xml:space="preserve"> </w:t>
      </w:r>
      <w:r>
        <w:rPr>
          <w:rFonts w:ascii="Times New Roman" w:eastAsia="Times New Roman" w:hAnsi="Times New Roman" w:cs="Times New Roman"/>
          <w:color w:val="000000"/>
          <w:sz w:val="24"/>
          <w:szCs w:val="24"/>
          <w:lang w:eastAsia="en-GB"/>
        </w:rPr>
        <w:t xml:space="preserve">for the current </w:t>
      </w:r>
      <w:r w:rsidRPr="00EC0E08">
        <w:rPr>
          <w:rFonts w:ascii="Times New Roman" w:eastAsia="Times New Roman" w:hAnsi="Times New Roman" w:cs="Times New Roman"/>
          <w:color w:val="000000"/>
          <w:sz w:val="24"/>
          <w:szCs w:val="24"/>
          <w:lang w:eastAsia="en-GB"/>
        </w:rPr>
        <w:t>reporting year</w:t>
      </w:r>
      <w:r>
        <w:rPr>
          <w:rFonts w:ascii="Times New Roman" w:eastAsia="Times New Roman" w:hAnsi="Times New Roman" w:cs="Times New Roman"/>
          <w:color w:val="000000"/>
          <w:sz w:val="24"/>
          <w:szCs w:val="24"/>
          <w:lang w:eastAsia="en-GB"/>
        </w:rPr>
        <w:t xml:space="preserve"> and reassess </w:t>
      </w:r>
      <w:r w:rsidR="00005AC5">
        <w:rPr>
          <w:rFonts w:ascii="Times New Roman" w:eastAsia="Times New Roman" w:hAnsi="Times New Roman" w:cs="Times New Roman"/>
          <w:color w:val="000000"/>
          <w:sz w:val="24"/>
          <w:szCs w:val="24"/>
          <w:lang w:eastAsia="en-GB"/>
        </w:rPr>
        <w:t xml:space="preserve">if </w:t>
      </w:r>
      <w:r>
        <w:rPr>
          <w:rFonts w:ascii="Times New Roman" w:eastAsia="Times New Roman" w:hAnsi="Times New Roman" w:cs="Times New Roman"/>
          <w:color w:val="000000"/>
          <w:sz w:val="24"/>
          <w:szCs w:val="24"/>
          <w:lang w:eastAsia="en-GB"/>
        </w:rPr>
        <w:t xml:space="preserve">the thresholds </w:t>
      </w:r>
      <w:r w:rsidR="00005AC5">
        <w:rPr>
          <w:rFonts w:ascii="Times New Roman" w:eastAsia="Times New Roman" w:hAnsi="Times New Roman" w:cs="Times New Roman"/>
          <w:color w:val="000000"/>
          <w:sz w:val="24"/>
          <w:szCs w:val="24"/>
          <w:lang w:eastAsia="en-GB"/>
        </w:rPr>
        <w:t xml:space="preserve">are not exceeded </w:t>
      </w:r>
      <w:r>
        <w:rPr>
          <w:rFonts w:ascii="Times New Roman" w:eastAsia="Times New Roman" w:hAnsi="Times New Roman" w:cs="Times New Roman"/>
          <w:color w:val="000000"/>
          <w:sz w:val="24"/>
          <w:szCs w:val="24"/>
          <w:lang w:eastAsia="en-GB"/>
        </w:rPr>
        <w:t xml:space="preserve">in the following </w:t>
      </w:r>
      <w:r w:rsidRPr="00EC0E08">
        <w:rPr>
          <w:rFonts w:ascii="Times New Roman" w:eastAsia="Times New Roman" w:hAnsi="Times New Roman" w:cs="Times New Roman"/>
          <w:color w:val="000000"/>
          <w:sz w:val="24"/>
          <w:szCs w:val="24"/>
          <w:lang w:eastAsia="en-GB"/>
        </w:rPr>
        <w:t>reporting year</w:t>
      </w:r>
      <w:r>
        <w:rPr>
          <w:rFonts w:ascii="Times New Roman" w:eastAsia="Times New Roman" w:hAnsi="Times New Roman" w:cs="Times New Roman"/>
          <w:color w:val="000000"/>
          <w:sz w:val="24"/>
          <w:szCs w:val="24"/>
          <w:lang w:eastAsia="en-GB"/>
        </w:rPr>
        <w:t>.</w:t>
      </w:r>
    </w:p>
    <w:p w14:paraId="3F5C82FC" w14:textId="55503BCB" w:rsidR="00C80FCE" w:rsidRDefault="00C80FCE" w:rsidP="002167AD">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p>
    <w:p w14:paraId="56B6DADE" w14:textId="77777777" w:rsidR="000A3A8F" w:rsidRPr="000A3A8F" w:rsidRDefault="000A3A8F" w:rsidP="000A3A8F">
      <w:pPr>
        <w:shd w:val="clear" w:color="auto" w:fill="FFFFFF"/>
        <w:spacing w:before="480" w:after="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CHAPTER II</w:t>
      </w:r>
    </w:p>
    <w:p w14:paraId="3FF76445" w14:textId="77777777" w:rsidR="000A3A8F" w:rsidRPr="000A3A8F" w:rsidRDefault="000A3A8F" w:rsidP="000A3A8F">
      <w:pPr>
        <w:shd w:val="clear" w:color="auto" w:fill="FFFFFF"/>
        <w:spacing w:before="75" w:after="120" w:line="240" w:lineRule="auto"/>
        <w:jc w:val="center"/>
        <w:rPr>
          <w:rFonts w:ascii="Times New Roman" w:eastAsia="Times New Roman" w:hAnsi="Times New Roman" w:cs="Times New Roman"/>
          <w:b/>
          <w:bCs/>
          <w:color w:val="000000"/>
          <w:sz w:val="24"/>
          <w:szCs w:val="24"/>
          <w:lang w:eastAsia="en-GB"/>
        </w:rPr>
      </w:pPr>
      <w:r w:rsidRPr="000A3A8F">
        <w:rPr>
          <w:rFonts w:ascii="inherit" w:eastAsia="Times New Roman" w:hAnsi="inherit" w:cs="Times New Roman"/>
          <w:b/>
          <w:bCs/>
          <w:color w:val="000000"/>
          <w:sz w:val="24"/>
          <w:szCs w:val="24"/>
          <w:lang w:eastAsia="en-GB"/>
        </w:rPr>
        <w:t>QUANTITATIVE REPORTING TEMPLATES FOR INDIVIDUAL UNDERTAKINGS</w:t>
      </w:r>
    </w:p>
    <w:p w14:paraId="09394ACA" w14:textId="4DAEB760"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 xml:space="preserve">Article </w:t>
      </w:r>
      <w:r w:rsidR="00CD065A">
        <w:rPr>
          <w:rFonts w:ascii="Times New Roman" w:eastAsia="Times New Roman" w:hAnsi="Times New Roman" w:cs="Times New Roman"/>
          <w:i/>
          <w:iCs/>
          <w:color w:val="000000"/>
          <w:sz w:val="24"/>
          <w:szCs w:val="24"/>
          <w:lang w:eastAsia="en-GB"/>
        </w:rPr>
        <w:t>7</w:t>
      </w:r>
    </w:p>
    <w:p w14:paraId="75F6D828" w14:textId="77777777" w:rsidR="000A3A8F" w:rsidRPr="000A3A8F" w:rsidRDefault="000A3A8F" w:rsidP="00C764F9">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Quarterly quantitative templates for individual undertakings</w:t>
      </w:r>
      <w:r w:rsidR="003840E6">
        <w:rPr>
          <w:rFonts w:ascii="Times New Roman" w:eastAsia="Times New Roman" w:hAnsi="Times New Roman" w:cs="Times New Roman"/>
          <w:b/>
          <w:bCs/>
          <w:color w:val="000000"/>
          <w:sz w:val="24"/>
          <w:szCs w:val="24"/>
          <w:lang w:eastAsia="en-GB"/>
        </w:rPr>
        <w:t xml:space="preserve"> </w:t>
      </w:r>
    </w:p>
    <w:p w14:paraId="19CF8041" w14:textId="77777777" w:rsidR="000A3A8F" w:rsidRPr="000A3A8F" w:rsidRDefault="000A3A8F" w:rsidP="00C764F9">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1.   Insurance and reinsurance undertakings shall submit quarterly, unless the scope or frequency of the reporting is limited in accordance with Article 35(6) of Directive 2009/138/EC,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185A0ACF" w14:textId="77777777" w:rsidTr="000A3A8F">
        <w:tc>
          <w:tcPr>
            <w:tcW w:w="0" w:type="auto"/>
            <w:shd w:val="clear" w:color="auto" w:fill="FFFFFF"/>
            <w:hideMark/>
          </w:tcPr>
          <w:p w14:paraId="4877EBB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3B99DA5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S.01.01.02 of Annex I, specifying the content of the submission, following the instructions set out in section S.01.01 of Annex II;</w:t>
            </w:r>
          </w:p>
        </w:tc>
      </w:tr>
    </w:tbl>
    <w:p w14:paraId="515D5A7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A89385F" w14:textId="77777777" w:rsidTr="000A3A8F">
        <w:tc>
          <w:tcPr>
            <w:tcW w:w="0" w:type="auto"/>
            <w:shd w:val="clear" w:color="auto" w:fill="FFFFFF"/>
            <w:hideMark/>
          </w:tcPr>
          <w:p w14:paraId="0563D0E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1523A0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S.01.02.01 of Annex I, specifying basic information on the undertaking and the content of reporting in general, following the instructions set out in section S.01.02 of Annex II;</w:t>
            </w:r>
          </w:p>
        </w:tc>
      </w:tr>
    </w:tbl>
    <w:p w14:paraId="6D446AD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FE7D9C5" w14:textId="77777777" w:rsidTr="000A3A8F">
        <w:tc>
          <w:tcPr>
            <w:tcW w:w="0" w:type="auto"/>
            <w:shd w:val="clear" w:color="auto" w:fill="FFFFFF"/>
            <w:hideMark/>
          </w:tcPr>
          <w:p w14:paraId="74C32A7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7E4032C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S.02.01.02 of Annex I, specifying balance sheet information using the valuation in accordance with Article 75 of Directive 2009/138/EC, following the instructions set out in section S.02.01 of Annex II to this Regulation;</w:t>
            </w:r>
          </w:p>
        </w:tc>
      </w:tr>
    </w:tbl>
    <w:p w14:paraId="7C9A5BA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E56F5A4" w14:textId="77777777" w:rsidTr="000A3A8F">
        <w:tc>
          <w:tcPr>
            <w:tcW w:w="0" w:type="auto"/>
            <w:shd w:val="clear" w:color="auto" w:fill="FFFFFF"/>
            <w:hideMark/>
          </w:tcPr>
          <w:p w14:paraId="48BB87C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5D54192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S.05.01.02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p>
        </w:tc>
      </w:tr>
    </w:tbl>
    <w:p w14:paraId="691A7F0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5A99F298" w14:textId="77777777" w:rsidTr="000A3A8F">
        <w:tc>
          <w:tcPr>
            <w:tcW w:w="0" w:type="auto"/>
            <w:shd w:val="clear" w:color="auto" w:fill="FFFFFF"/>
            <w:hideMark/>
          </w:tcPr>
          <w:p w14:paraId="3888F3E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7901F17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S.06.02.01 of Annex I, providing an item–by-item list of assets, following the instructions set out in section S.06.02 of Annex II and using the Complementary Identification Code (‘CIC code’) as set out in Annex V and defined in Annex VI;</w:t>
            </w:r>
          </w:p>
        </w:tc>
      </w:tr>
    </w:tbl>
    <w:p w14:paraId="5EFC953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0FA74679" w14:textId="77777777" w:rsidTr="000A3A8F">
        <w:tc>
          <w:tcPr>
            <w:tcW w:w="0" w:type="auto"/>
            <w:shd w:val="clear" w:color="auto" w:fill="FFFFFF"/>
            <w:hideMark/>
          </w:tcPr>
          <w:p w14:paraId="1AF67E8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7D610FC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ratio of collective investments held by the undertaking to total investments is higher than 30 %, template S.06.03.01 of Annex I, providing information on the look-through of all collective investments held by the undertaking, following the instructions set out in section S.06.03 of Annex II;</w:t>
            </w:r>
          </w:p>
        </w:tc>
      </w:tr>
    </w:tbl>
    <w:p w14:paraId="1F47492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6265142D" w14:textId="77777777" w:rsidTr="000A3A8F">
        <w:tc>
          <w:tcPr>
            <w:tcW w:w="0" w:type="auto"/>
            <w:shd w:val="clear" w:color="auto" w:fill="FFFFFF"/>
            <w:hideMark/>
          </w:tcPr>
          <w:p w14:paraId="0CCD412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3949E1B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S.08.01.01 of Annex I, providing an item-by-item list of open positions of derivatives, following the instructions set out in section S.08.01 of Annex II and using the CIC code as set out in Annex V and defined in Annex VI;</w:t>
            </w:r>
          </w:p>
        </w:tc>
      </w:tr>
    </w:tbl>
    <w:p w14:paraId="5AC3F55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58ED0DD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9870382" w14:textId="77777777" w:rsidTr="000A3A8F">
        <w:tc>
          <w:tcPr>
            <w:tcW w:w="0" w:type="auto"/>
            <w:shd w:val="clear" w:color="auto" w:fill="FFFFFF"/>
            <w:hideMark/>
          </w:tcPr>
          <w:p w14:paraId="1939DE02" w14:textId="73004087" w:rsidR="000A3A8F" w:rsidRPr="000A3A8F" w:rsidRDefault="00CD065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(h</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5C06BCD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S.12.01.02 of Annex I, specifying information on the technical provisions relating to life insurance and health insurance pursued on a similar technical basis to that of life insurance (‘health SLT’) for each line of business as defined in Annex I to Delegated Regulation (EU) 2015/35, following the instructions set out in section S.12.01 of Annex II to this Regulation;</w:t>
            </w:r>
          </w:p>
        </w:tc>
      </w:tr>
    </w:tbl>
    <w:p w14:paraId="1B9E5AA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058CF0E5" w14:textId="77777777" w:rsidTr="000A3A8F">
        <w:tc>
          <w:tcPr>
            <w:tcW w:w="0" w:type="auto"/>
            <w:shd w:val="clear" w:color="auto" w:fill="FFFFFF"/>
            <w:hideMark/>
          </w:tcPr>
          <w:p w14:paraId="2509B7DA" w14:textId="5363C5A7" w:rsidR="000A3A8F" w:rsidRPr="000A3A8F" w:rsidRDefault="00CD065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t>
            </w:r>
            <w:proofErr w:type="spellStart"/>
            <w:r>
              <w:rPr>
                <w:rFonts w:ascii="inherit" w:eastAsia="Times New Roman" w:hAnsi="inherit" w:cs="Times New Roman"/>
                <w:color w:val="000000"/>
                <w:sz w:val="24"/>
                <w:szCs w:val="24"/>
                <w:lang w:eastAsia="en-GB"/>
              </w:rPr>
              <w:t>i</w:t>
            </w:r>
            <w:proofErr w:type="spellEnd"/>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00DEFC9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S.17.01.02 of Annex I, specifying information on non-life technical provisions for each line of business as defined in Annex I to Delegated Regulation (EU) 2015/35, following the instructions set out in section S.17.01 of Annex II to this Regulation;</w:t>
            </w:r>
          </w:p>
        </w:tc>
      </w:tr>
    </w:tbl>
    <w:p w14:paraId="0B0231F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4E7D940" w14:textId="77777777" w:rsidTr="000A3A8F">
        <w:tc>
          <w:tcPr>
            <w:tcW w:w="0" w:type="auto"/>
            <w:shd w:val="clear" w:color="auto" w:fill="FFFFFF"/>
            <w:hideMark/>
          </w:tcPr>
          <w:p w14:paraId="6E43E5F1" w14:textId="23361A52" w:rsidR="000A3A8F" w:rsidRPr="000A3A8F" w:rsidRDefault="00CD065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(j</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3DD9503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S.23.01.01 of Annex I, specifying information on own funds, following the instructions set out in section S.23.01 of Annex II;</w:t>
            </w:r>
          </w:p>
        </w:tc>
      </w:tr>
    </w:tbl>
    <w:p w14:paraId="5D8642B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51978ED" w14:textId="77777777" w:rsidTr="000A3A8F">
        <w:tc>
          <w:tcPr>
            <w:tcW w:w="0" w:type="auto"/>
            <w:shd w:val="clear" w:color="auto" w:fill="FFFFFF"/>
            <w:hideMark/>
          </w:tcPr>
          <w:p w14:paraId="02BA57DA" w14:textId="609DDEBD" w:rsidR="000A3A8F" w:rsidRPr="000A3A8F" w:rsidRDefault="00CD065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(k</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41C8F2D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insurance and reinsurance undertakings are engaged in only life or only non-life insurance or reinsurance activity, template S.28.01.01 of Annex I, specifying the Minimum Capital Requirement, following the instructions set out in section S.28.01 of Annex II;</w:t>
            </w:r>
          </w:p>
        </w:tc>
      </w:tr>
    </w:tbl>
    <w:p w14:paraId="4D4103D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72D7CF00" w14:textId="77777777" w:rsidTr="000A3A8F">
        <w:tc>
          <w:tcPr>
            <w:tcW w:w="0" w:type="auto"/>
            <w:shd w:val="clear" w:color="auto" w:fill="FFFFFF"/>
            <w:hideMark/>
          </w:tcPr>
          <w:p w14:paraId="523E71CE" w14:textId="4A39BED8" w:rsidR="000A3A8F" w:rsidRPr="000A3A8F" w:rsidRDefault="00CD065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(l</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40A0C5F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where</w:t>
            </w:r>
            <w:proofErr w:type="gramEnd"/>
            <w:r w:rsidRPr="000A3A8F">
              <w:rPr>
                <w:rFonts w:ascii="inherit" w:eastAsia="Times New Roman" w:hAnsi="inherit" w:cs="Times New Roman"/>
                <w:color w:val="000000"/>
                <w:sz w:val="24"/>
                <w:szCs w:val="24"/>
                <w:lang w:eastAsia="en-GB"/>
              </w:rPr>
              <w:t xml:space="preserve"> insurance undertakings are engaged in both life and non-life insurance activity, template S.28.02.01 of Annex I, specifying the Minimum Capital Requirement, following the instructions set out in section S.28.02 of Annex II.</w:t>
            </w:r>
          </w:p>
        </w:tc>
      </w:tr>
    </w:tbl>
    <w:p w14:paraId="5C2D2244"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For the purposes of point (f) of paragraph 1, the ratio of collective investments held by the undertaking to total investments shall be determined by the sum of items C0010/R0180, collective investment undertakings included in item C0010/R0220 and collective investment undertakings included in item C0010/R0090 of template S.02.01.02, divided by the sum of items C0010/R0070 and C0010/R0220 of template S.02.01.02.</w:t>
      </w:r>
    </w:p>
    <w:p w14:paraId="4A8880DD" w14:textId="70E70ED1" w:rsidR="003840E6" w:rsidRPr="000A3A8F" w:rsidRDefault="003840E6" w:rsidP="003840E6">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 xml:space="preserve">Article </w:t>
      </w:r>
      <w:r w:rsidR="00CD065A">
        <w:rPr>
          <w:rFonts w:ascii="Times New Roman" w:eastAsia="Times New Roman" w:hAnsi="Times New Roman" w:cs="Times New Roman"/>
          <w:i/>
          <w:iCs/>
          <w:color w:val="000000"/>
          <w:sz w:val="24"/>
          <w:szCs w:val="24"/>
          <w:lang w:eastAsia="en-GB"/>
        </w:rPr>
        <w:t>7</w:t>
      </w:r>
      <w:r w:rsidR="002C3FFF">
        <w:rPr>
          <w:rFonts w:ascii="Times New Roman" w:eastAsia="Times New Roman" w:hAnsi="Times New Roman" w:cs="Times New Roman"/>
          <w:i/>
          <w:iCs/>
          <w:color w:val="000000"/>
          <w:sz w:val="24"/>
          <w:szCs w:val="24"/>
          <w:lang w:eastAsia="en-GB"/>
        </w:rPr>
        <w:t>a</w:t>
      </w:r>
    </w:p>
    <w:p w14:paraId="71C48948" w14:textId="77777777" w:rsidR="003840E6" w:rsidRPr="000A3A8F" w:rsidRDefault="003840E6" w:rsidP="003840E6">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Quarterly quantitative templates for </w:t>
      </w:r>
      <w:r>
        <w:rPr>
          <w:rFonts w:ascii="Times New Roman" w:eastAsia="Times New Roman" w:hAnsi="Times New Roman" w:cs="Times New Roman"/>
          <w:b/>
          <w:bCs/>
          <w:color w:val="000000"/>
          <w:sz w:val="24"/>
          <w:szCs w:val="24"/>
          <w:lang w:eastAsia="en-GB"/>
        </w:rPr>
        <w:t xml:space="preserve">captive </w:t>
      </w:r>
      <w:r w:rsidR="00C8513F">
        <w:rPr>
          <w:rFonts w:ascii="Times New Roman" w:eastAsia="Times New Roman" w:hAnsi="Times New Roman" w:cs="Times New Roman"/>
          <w:b/>
          <w:bCs/>
          <w:color w:val="000000"/>
          <w:sz w:val="24"/>
          <w:szCs w:val="24"/>
          <w:lang w:eastAsia="en-GB"/>
        </w:rPr>
        <w:t xml:space="preserve">insurance and </w:t>
      </w:r>
      <w:r w:rsidR="00C764F9">
        <w:rPr>
          <w:rFonts w:ascii="Times New Roman" w:eastAsia="Times New Roman" w:hAnsi="Times New Roman" w:cs="Times New Roman"/>
          <w:b/>
          <w:bCs/>
          <w:color w:val="000000"/>
          <w:sz w:val="24"/>
          <w:szCs w:val="24"/>
          <w:lang w:eastAsia="en-GB"/>
        </w:rPr>
        <w:t xml:space="preserve">captive </w:t>
      </w:r>
      <w:r w:rsidR="00C8513F">
        <w:rPr>
          <w:rFonts w:ascii="Times New Roman" w:eastAsia="Times New Roman" w:hAnsi="Times New Roman" w:cs="Times New Roman"/>
          <w:b/>
          <w:bCs/>
          <w:color w:val="000000"/>
          <w:sz w:val="24"/>
          <w:szCs w:val="24"/>
          <w:lang w:eastAsia="en-GB"/>
        </w:rPr>
        <w:t xml:space="preserve">reinsurance </w:t>
      </w:r>
      <w:r>
        <w:rPr>
          <w:rFonts w:ascii="Times New Roman" w:eastAsia="Times New Roman" w:hAnsi="Times New Roman" w:cs="Times New Roman"/>
          <w:b/>
          <w:bCs/>
          <w:color w:val="000000"/>
          <w:sz w:val="24"/>
          <w:szCs w:val="24"/>
          <w:lang w:eastAsia="en-GB"/>
        </w:rPr>
        <w:t>undertakings</w:t>
      </w:r>
    </w:p>
    <w:p w14:paraId="1BD377AF" w14:textId="1950339D" w:rsidR="003840E6" w:rsidRPr="000A3A8F" w:rsidRDefault="00C8513F" w:rsidP="00CD065A">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i</w:t>
      </w:r>
      <w:r w:rsidR="003840E6" w:rsidRPr="000A3A8F">
        <w:rPr>
          <w:rFonts w:ascii="Times New Roman" w:eastAsia="Times New Roman" w:hAnsi="Times New Roman" w:cs="Times New Roman"/>
          <w:color w:val="000000"/>
          <w:sz w:val="24"/>
          <w:szCs w:val="24"/>
          <w:lang w:eastAsia="en-GB"/>
        </w:rPr>
        <w:t xml:space="preserve">nsurance and </w:t>
      </w:r>
      <w:r w:rsidR="00C764F9">
        <w:rPr>
          <w:rFonts w:ascii="Times New Roman" w:eastAsia="Times New Roman" w:hAnsi="Times New Roman" w:cs="Times New Roman"/>
          <w:color w:val="000000"/>
          <w:sz w:val="24"/>
          <w:szCs w:val="24"/>
          <w:lang w:eastAsia="en-GB"/>
        </w:rPr>
        <w:t xml:space="preserve">captive </w:t>
      </w:r>
      <w:r w:rsidR="003840E6" w:rsidRPr="000A3A8F">
        <w:rPr>
          <w:rFonts w:ascii="Times New Roman" w:eastAsia="Times New Roman" w:hAnsi="Times New Roman" w:cs="Times New Roman"/>
          <w:color w:val="000000"/>
          <w:sz w:val="24"/>
          <w:szCs w:val="24"/>
          <w:lang w:eastAsia="en-GB"/>
        </w:rPr>
        <w:t>reinsurance undertakings shall submit quarterly</w:t>
      </w:r>
      <w:r w:rsidR="00D82666" w:rsidRPr="00A3055B">
        <w:rPr>
          <w:rFonts w:ascii="Times New Roman" w:eastAsia="Times New Roman" w:hAnsi="Times New Roman" w:cs="Times New Roman"/>
          <w:color w:val="000000"/>
          <w:sz w:val="24"/>
          <w:szCs w:val="24"/>
          <w:lang w:eastAsia="en-GB"/>
        </w:rPr>
        <w:t>, unless the scope or frequency of the reporting is limited in accordance with Article 35(6) of Directive 2009/138/EC</w:t>
      </w:r>
      <w:r w:rsidR="00D82666">
        <w:rPr>
          <w:rFonts w:ascii="Times New Roman" w:eastAsia="Times New Roman" w:hAnsi="Times New Roman" w:cs="Times New Roman"/>
          <w:color w:val="000000"/>
          <w:sz w:val="24"/>
          <w:szCs w:val="24"/>
          <w:lang w:eastAsia="en-GB"/>
        </w:rPr>
        <w:t>,</w:t>
      </w:r>
      <w:r w:rsidR="00D82666" w:rsidRPr="007C03DB">
        <w:rPr>
          <w:rFonts w:ascii="Times New Roman" w:eastAsia="Times New Roman" w:hAnsi="Times New Roman" w:cs="Times New Roman"/>
          <w:color w:val="000000"/>
          <w:sz w:val="24"/>
          <w:szCs w:val="24"/>
          <w:lang w:eastAsia="en-GB"/>
        </w:rPr>
        <w:t xml:space="preserve"> </w:t>
      </w:r>
      <w:r w:rsidR="003840E6" w:rsidRPr="000A3A8F">
        <w:rPr>
          <w:rFonts w:ascii="Times New Roman" w:eastAsia="Times New Roman" w:hAnsi="Times New Roman" w:cs="Times New Roman"/>
          <w:color w:val="000000"/>
          <w:sz w:val="24"/>
          <w:szCs w:val="24"/>
          <w:lang w:eastAsia="en-GB"/>
        </w:rPr>
        <w:t>the information referred to in Article 304(1</w:t>
      </w:r>
      <w:proofErr w:type="gramStart"/>
      <w:r w:rsidR="003840E6" w:rsidRPr="000A3A8F">
        <w:rPr>
          <w:rFonts w:ascii="Times New Roman" w:eastAsia="Times New Roman" w:hAnsi="Times New Roman" w:cs="Times New Roman"/>
          <w:color w:val="000000"/>
          <w:sz w:val="24"/>
          <w:szCs w:val="24"/>
          <w:lang w:eastAsia="en-GB"/>
        </w:rPr>
        <w:t>)(</w:t>
      </w:r>
      <w:proofErr w:type="gramEnd"/>
      <w:r w:rsidR="003840E6" w:rsidRPr="000A3A8F">
        <w:rPr>
          <w:rFonts w:ascii="Times New Roman" w:eastAsia="Times New Roman" w:hAnsi="Times New Roman" w:cs="Times New Roman"/>
          <w:color w:val="000000"/>
          <w:sz w:val="24"/>
          <w:szCs w:val="24"/>
          <w:lang w:eastAsia="en-GB"/>
        </w:rPr>
        <w:t>d) of Delegated Regulation (EU) 2015/35</w:t>
      </w:r>
      <w:r w:rsidR="00181DE1" w:rsidRPr="000A3A8F">
        <w:rPr>
          <w:rFonts w:ascii="Times New Roman" w:eastAsia="Times New Roman" w:hAnsi="Times New Roman" w:cs="Times New Roman"/>
          <w:color w:val="000000"/>
          <w:sz w:val="24"/>
          <w:szCs w:val="24"/>
          <w:lang w:eastAsia="en-GB"/>
        </w:rPr>
        <w:t xml:space="preserve"> </w:t>
      </w:r>
      <w:r w:rsidR="003840E6" w:rsidRPr="000A3A8F">
        <w:rPr>
          <w:rFonts w:ascii="Times New Roman" w:eastAsia="Times New Roman" w:hAnsi="Times New Roman" w:cs="Times New Roman"/>
          <w:color w:val="000000"/>
          <w:sz w:val="24"/>
          <w:szCs w:val="24"/>
          <w:lang w:eastAsia="en-GB"/>
        </w:rPr>
        <w:t>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3840E6" w:rsidRPr="007F7F6A" w14:paraId="04FCD46A" w14:textId="77777777" w:rsidTr="00D661CC">
        <w:tc>
          <w:tcPr>
            <w:tcW w:w="0" w:type="auto"/>
            <w:shd w:val="clear" w:color="auto" w:fill="FFFFFF"/>
            <w:hideMark/>
          </w:tcPr>
          <w:p w14:paraId="02833289" w14:textId="77777777" w:rsidR="003840E6" w:rsidRPr="00CA32E7" w:rsidRDefault="003840E6" w:rsidP="00D661CC">
            <w:pPr>
              <w:spacing w:before="120" w:after="0" w:line="240" w:lineRule="auto"/>
              <w:jc w:val="both"/>
              <w:rPr>
                <w:rFonts w:ascii="inherit" w:eastAsia="Times New Roman" w:hAnsi="inherit" w:cs="Times New Roman"/>
                <w:color w:val="000000"/>
                <w:sz w:val="24"/>
                <w:szCs w:val="24"/>
                <w:lang w:eastAsia="en-GB"/>
              </w:rPr>
            </w:pPr>
            <w:r w:rsidRPr="00CA32E7">
              <w:rPr>
                <w:rFonts w:ascii="inherit" w:eastAsia="Times New Roman" w:hAnsi="inherit" w:cs="Times New Roman"/>
                <w:color w:val="000000"/>
                <w:sz w:val="24"/>
                <w:szCs w:val="24"/>
                <w:lang w:eastAsia="en-GB"/>
              </w:rPr>
              <w:t>(a)</w:t>
            </w:r>
          </w:p>
        </w:tc>
        <w:tc>
          <w:tcPr>
            <w:tcW w:w="0" w:type="auto"/>
            <w:shd w:val="clear" w:color="auto" w:fill="FFFFFF"/>
            <w:hideMark/>
          </w:tcPr>
          <w:p w14:paraId="7E365236" w14:textId="77777777" w:rsidR="003840E6" w:rsidRPr="005C0A5F" w:rsidRDefault="003840E6" w:rsidP="00D661CC">
            <w:pPr>
              <w:spacing w:before="120" w:after="0" w:line="240" w:lineRule="auto"/>
              <w:jc w:val="both"/>
              <w:rPr>
                <w:rFonts w:ascii="inherit" w:eastAsia="Times New Roman" w:hAnsi="inherit" w:cs="Times New Roman"/>
                <w:color w:val="000000"/>
                <w:sz w:val="24"/>
                <w:szCs w:val="24"/>
                <w:lang w:eastAsia="en-GB"/>
              </w:rPr>
            </w:pPr>
            <w:r w:rsidRPr="00CA32E7">
              <w:rPr>
                <w:rFonts w:ascii="inherit" w:eastAsia="Times New Roman" w:hAnsi="inherit" w:cs="Times New Roman"/>
                <w:color w:val="000000"/>
                <w:sz w:val="24"/>
                <w:szCs w:val="24"/>
                <w:lang w:eastAsia="en-GB"/>
              </w:rPr>
              <w:t>template S.01.01.02 of Annex I, specifying the content of the submission, following the instructions set out in section S.01.01 of Annex II;</w:t>
            </w:r>
          </w:p>
        </w:tc>
      </w:tr>
    </w:tbl>
    <w:p w14:paraId="726D952F"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3840E6" w:rsidRPr="007F7F6A" w14:paraId="1A43D05D" w14:textId="77777777" w:rsidTr="00D661CC">
        <w:tc>
          <w:tcPr>
            <w:tcW w:w="0" w:type="auto"/>
            <w:shd w:val="clear" w:color="auto" w:fill="FFFFFF"/>
            <w:hideMark/>
          </w:tcPr>
          <w:p w14:paraId="7101327E"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(b)</w:t>
            </w:r>
          </w:p>
        </w:tc>
        <w:tc>
          <w:tcPr>
            <w:tcW w:w="0" w:type="auto"/>
            <w:shd w:val="clear" w:color="auto" w:fill="FFFFFF"/>
            <w:hideMark/>
          </w:tcPr>
          <w:p w14:paraId="55FB06E1"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S.01.02.01 of Annex I, specifying basic information on the undertaking and the content of reporting in general, following the instructions set out in section S.01.02 of Annex II;</w:t>
            </w:r>
          </w:p>
        </w:tc>
      </w:tr>
    </w:tbl>
    <w:p w14:paraId="369D4578"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3840E6" w:rsidRPr="007F7F6A" w14:paraId="3CF4B52E" w14:textId="77777777" w:rsidTr="00D661CC">
        <w:tc>
          <w:tcPr>
            <w:tcW w:w="0" w:type="auto"/>
            <w:shd w:val="clear" w:color="auto" w:fill="FFFFFF"/>
            <w:hideMark/>
          </w:tcPr>
          <w:p w14:paraId="4A7EE396"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(c)</w:t>
            </w:r>
          </w:p>
        </w:tc>
        <w:tc>
          <w:tcPr>
            <w:tcW w:w="0" w:type="auto"/>
            <w:shd w:val="clear" w:color="auto" w:fill="FFFFFF"/>
            <w:hideMark/>
          </w:tcPr>
          <w:p w14:paraId="00EDC6EA"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S.02.01.02 of Annex I, specifying balance sheet information using the valuation in accordance with Article</w:t>
            </w:r>
            <w:r w:rsidRPr="007F7F6A">
              <w:rPr>
                <w:rFonts w:ascii="inherit" w:eastAsia="Times New Roman" w:hAnsi="inherit" w:cs="Times New Roman" w:hint="eastAsia"/>
                <w:color w:val="000000"/>
                <w:sz w:val="24"/>
                <w:szCs w:val="24"/>
                <w:lang w:eastAsia="en-GB"/>
              </w:rPr>
              <w:t> </w:t>
            </w:r>
            <w:r w:rsidRPr="007F7F6A">
              <w:rPr>
                <w:rFonts w:ascii="inherit" w:eastAsia="Times New Roman" w:hAnsi="inherit" w:cs="Times New Roman"/>
                <w:color w:val="000000"/>
                <w:sz w:val="24"/>
                <w:szCs w:val="24"/>
                <w:lang w:eastAsia="en-GB"/>
              </w:rPr>
              <w:t>75 of Directive 2009/138/EC, following the instructions set out in section S.02.01 of Annex II to this Regulation;</w:t>
            </w:r>
          </w:p>
        </w:tc>
      </w:tr>
    </w:tbl>
    <w:p w14:paraId="12D78C11"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3840E6" w:rsidRPr="007F7F6A" w14:paraId="5C1D7C90" w14:textId="77777777" w:rsidTr="00D661CC">
        <w:tc>
          <w:tcPr>
            <w:tcW w:w="0" w:type="auto"/>
            <w:shd w:val="clear" w:color="auto" w:fill="FFFFFF"/>
            <w:hideMark/>
          </w:tcPr>
          <w:p w14:paraId="72252BC2"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(d)</w:t>
            </w:r>
          </w:p>
        </w:tc>
        <w:tc>
          <w:tcPr>
            <w:tcW w:w="0" w:type="auto"/>
            <w:shd w:val="clear" w:color="auto" w:fill="FFFFFF"/>
            <w:hideMark/>
          </w:tcPr>
          <w:p w14:paraId="170CAB8A"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S.05.01.02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p>
        </w:tc>
      </w:tr>
    </w:tbl>
    <w:p w14:paraId="72407953"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p w14:paraId="2E7B5D44"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p w14:paraId="4DB5B3C6"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3840E6" w:rsidRPr="007F7F6A" w14:paraId="512B1F57" w14:textId="77777777" w:rsidTr="00D661CC">
        <w:tc>
          <w:tcPr>
            <w:tcW w:w="0" w:type="auto"/>
            <w:shd w:val="clear" w:color="auto" w:fill="FFFFFF"/>
            <w:hideMark/>
          </w:tcPr>
          <w:p w14:paraId="4EBE8400" w14:textId="77777777" w:rsidR="003840E6" w:rsidRPr="007F7F6A" w:rsidRDefault="003840E6" w:rsidP="00AF1426">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w:t>
            </w:r>
            <w:r w:rsidR="00AF1426" w:rsidRPr="007F7F6A">
              <w:rPr>
                <w:rFonts w:ascii="inherit" w:eastAsia="Times New Roman" w:hAnsi="inherit" w:cs="Times New Roman"/>
                <w:color w:val="000000"/>
                <w:sz w:val="24"/>
                <w:szCs w:val="24"/>
                <w:lang w:eastAsia="en-GB"/>
              </w:rPr>
              <w:t>e</w:t>
            </w:r>
            <w:r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7DDAE25E" w14:textId="77777777" w:rsidR="003840E6" w:rsidRPr="007F7F6A" w:rsidRDefault="003840E6" w:rsidP="000845C0">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S.12.01.02 of Annex I, specifying information on the technical provisions relating to life insurance and health insurance pursued on a similar technical basis to that of life insurance (</w:t>
            </w:r>
            <w:r w:rsidRPr="007F7F6A">
              <w:rPr>
                <w:rFonts w:ascii="inherit" w:eastAsia="Times New Roman" w:hAnsi="inherit" w:cs="Times New Roman" w:hint="eastAsia"/>
                <w:color w:val="000000"/>
                <w:sz w:val="24"/>
                <w:szCs w:val="24"/>
                <w:lang w:eastAsia="en-GB"/>
              </w:rPr>
              <w:t>‘</w:t>
            </w:r>
            <w:r w:rsidRPr="007F7F6A">
              <w:rPr>
                <w:rFonts w:ascii="inherit" w:eastAsia="Times New Roman" w:hAnsi="inherit" w:cs="Times New Roman"/>
                <w:color w:val="000000"/>
                <w:sz w:val="24"/>
                <w:szCs w:val="24"/>
                <w:lang w:eastAsia="en-GB"/>
              </w:rPr>
              <w:t>health SLT</w:t>
            </w:r>
            <w:r w:rsidRPr="007F7F6A">
              <w:rPr>
                <w:rFonts w:ascii="inherit" w:eastAsia="Times New Roman" w:hAnsi="inherit" w:cs="Times New Roman" w:hint="eastAsia"/>
                <w:color w:val="000000"/>
                <w:sz w:val="24"/>
                <w:szCs w:val="24"/>
                <w:lang w:eastAsia="en-GB"/>
              </w:rPr>
              <w:t>’</w:t>
            </w:r>
            <w:r w:rsidRPr="007F7F6A">
              <w:rPr>
                <w:rFonts w:ascii="inherit" w:eastAsia="Times New Roman" w:hAnsi="inherit" w:cs="Times New Roman"/>
                <w:color w:val="000000"/>
                <w:sz w:val="24"/>
                <w:szCs w:val="24"/>
                <w:lang w:eastAsia="en-GB"/>
              </w:rPr>
              <w:t>) for each line of business as defined in Annex I to Delegated Regulation (EU) 2015/35, following the instructions set out in section S.12.01 of Annex II to this Regulation;</w:t>
            </w:r>
          </w:p>
        </w:tc>
      </w:tr>
    </w:tbl>
    <w:p w14:paraId="7E5E3BB8"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3840E6" w:rsidRPr="007F7F6A" w14:paraId="0CB1C529" w14:textId="77777777" w:rsidTr="00D661CC">
        <w:tc>
          <w:tcPr>
            <w:tcW w:w="0" w:type="auto"/>
            <w:shd w:val="clear" w:color="auto" w:fill="FFFFFF"/>
            <w:hideMark/>
          </w:tcPr>
          <w:p w14:paraId="0026105D" w14:textId="77777777" w:rsidR="003840E6" w:rsidRPr="007F7F6A" w:rsidRDefault="003840E6" w:rsidP="00AF1426">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w:t>
            </w:r>
            <w:r w:rsidR="00AF1426" w:rsidRPr="007F7F6A">
              <w:rPr>
                <w:rFonts w:ascii="inherit" w:eastAsia="Times New Roman" w:hAnsi="inherit" w:cs="Times New Roman"/>
                <w:color w:val="000000"/>
                <w:sz w:val="24"/>
                <w:szCs w:val="24"/>
                <w:lang w:eastAsia="en-GB"/>
              </w:rPr>
              <w:t>f</w:t>
            </w:r>
            <w:r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4F4E5F7B"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S.17.01.02 of Annex I, specifying information on non-life technical provisions for each line of business as defined in Annex I to Delegated Regulation (EU) 2015/35, following the instructions set out in section S.17.01 of Annex II to this Regulation;</w:t>
            </w:r>
          </w:p>
        </w:tc>
      </w:tr>
    </w:tbl>
    <w:p w14:paraId="1AE55EBC"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3840E6" w:rsidRPr="007F7F6A" w14:paraId="0FF305BE" w14:textId="77777777" w:rsidTr="00D661CC">
        <w:tc>
          <w:tcPr>
            <w:tcW w:w="0" w:type="auto"/>
            <w:shd w:val="clear" w:color="auto" w:fill="FFFFFF"/>
            <w:hideMark/>
          </w:tcPr>
          <w:p w14:paraId="6C70058C" w14:textId="77777777" w:rsidR="003840E6" w:rsidRPr="007F7F6A" w:rsidRDefault="003840E6" w:rsidP="00AF1426">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w:t>
            </w:r>
            <w:r w:rsidR="00AF1426" w:rsidRPr="007F7F6A">
              <w:rPr>
                <w:rFonts w:ascii="inherit" w:eastAsia="Times New Roman" w:hAnsi="inherit" w:cs="Times New Roman"/>
                <w:color w:val="000000"/>
                <w:sz w:val="24"/>
                <w:szCs w:val="24"/>
                <w:lang w:eastAsia="en-GB"/>
              </w:rPr>
              <w:t>g</w:t>
            </w:r>
            <w:r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2091AEFE"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template S.23.01.01 of Annex I, specifying information on own funds, following the instructions set out in section S.23.01 of Annex II;</w:t>
            </w:r>
          </w:p>
        </w:tc>
      </w:tr>
    </w:tbl>
    <w:p w14:paraId="792FF7BA"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3840E6" w:rsidRPr="007F7F6A" w14:paraId="24B7EF5C" w14:textId="77777777" w:rsidTr="00D661CC">
        <w:tc>
          <w:tcPr>
            <w:tcW w:w="0" w:type="auto"/>
            <w:shd w:val="clear" w:color="auto" w:fill="FFFFFF"/>
            <w:hideMark/>
          </w:tcPr>
          <w:p w14:paraId="403F9321" w14:textId="77777777" w:rsidR="003840E6" w:rsidRPr="007F7F6A" w:rsidRDefault="00AF142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(h</w:t>
            </w:r>
            <w:r w:rsidR="003840E6"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61FC3CDE" w14:textId="77777777" w:rsidR="003840E6" w:rsidRPr="007F7F6A" w:rsidRDefault="003840E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 xml:space="preserve">where </w:t>
            </w:r>
            <w:r w:rsidR="002C3FFF" w:rsidRPr="007F7F6A">
              <w:rPr>
                <w:rFonts w:ascii="inherit" w:eastAsia="Times New Roman" w:hAnsi="inherit" w:cs="Times New Roman"/>
                <w:color w:val="000000"/>
                <w:sz w:val="24"/>
                <w:szCs w:val="24"/>
                <w:lang w:eastAsia="en-GB"/>
              </w:rPr>
              <w:t xml:space="preserve">captive </w:t>
            </w:r>
            <w:r w:rsidRPr="007F7F6A">
              <w:rPr>
                <w:rFonts w:ascii="inherit" w:eastAsia="Times New Roman" w:hAnsi="inherit" w:cs="Times New Roman"/>
                <w:color w:val="000000"/>
                <w:sz w:val="24"/>
                <w:szCs w:val="24"/>
                <w:lang w:eastAsia="en-GB"/>
              </w:rPr>
              <w:t xml:space="preserve">insurance and reinsurance undertakings are engaged in only life or only non-life insurance or reinsurance activity, template S.28.01.01 of Annex I, specifying the </w:t>
            </w:r>
            <w:r w:rsidRPr="007F7F6A">
              <w:rPr>
                <w:rFonts w:ascii="inherit" w:eastAsia="Times New Roman" w:hAnsi="inherit" w:cs="Times New Roman"/>
                <w:color w:val="000000"/>
                <w:sz w:val="24"/>
                <w:szCs w:val="24"/>
                <w:lang w:eastAsia="en-GB"/>
              </w:rPr>
              <w:lastRenderedPageBreak/>
              <w:t>Minimum Capital Requirement, following the instructions set out in section S.28.01 of Annex II;</w:t>
            </w:r>
          </w:p>
        </w:tc>
      </w:tr>
    </w:tbl>
    <w:p w14:paraId="3F6666AD" w14:textId="77777777" w:rsidR="003840E6" w:rsidRPr="007F7F6A" w:rsidRDefault="003840E6" w:rsidP="003840E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3840E6" w:rsidRPr="000A3A8F" w14:paraId="0EC9B8BD" w14:textId="77777777" w:rsidTr="00D661CC">
        <w:tc>
          <w:tcPr>
            <w:tcW w:w="0" w:type="auto"/>
            <w:shd w:val="clear" w:color="auto" w:fill="FFFFFF"/>
            <w:hideMark/>
          </w:tcPr>
          <w:p w14:paraId="567DD4E9" w14:textId="77777777" w:rsidR="003840E6" w:rsidRPr="007F7F6A" w:rsidRDefault="00AF1426"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w:t>
            </w:r>
            <w:proofErr w:type="spellStart"/>
            <w:r w:rsidRPr="007F7F6A">
              <w:rPr>
                <w:rFonts w:ascii="inherit" w:eastAsia="Times New Roman" w:hAnsi="inherit" w:cs="Times New Roman"/>
                <w:color w:val="000000"/>
                <w:sz w:val="24"/>
                <w:szCs w:val="24"/>
                <w:lang w:eastAsia="en-GB"/>
              </w:rPr>
              <w:t>i</w:t>
            </w:r>
            <w:proofErr w:type="spellEnd"/>
            <w:r w:rsidR="003840E6" w:rsidRPr="007F7F6A">
              <w:rPr>
                <w:rFonts w:ascii="inherit" w:eastAsia="Times New Roman" w:hAnsi="inherit" w:cs="Times New Roman"/>
                <w:color w:val="000000"/>
                <w:sz w:val="24"/>
                <w:szCs w:val="24"/>
                <w:lang w:eastAsia="en-GB"/>
              </w:rPr>
              <w:t>)</w:t>
            </w:r>
          </w:p>
        </w:tc>
        <w:tc>
          <w:tcPr>
            <w:tcW w:w="0" w:type="auto"/>
            <w:shd w:val="clear" w:color="auto" w:fill="FFFFFF"/>
            <w:hideMark/>
          </w:tcPr>
          <w:p w14:paraId="345DD539" w14:textId="77777777" w:rsidR="003840E6" w:rsidRPr="000A3A8F" w:rsidRDefault="00696BD4" w:rsidP="00D661CC">
            <w:pPr>
              <w:spacing w:before="120" w:after="0" w:line="240" w:lineRule="auto"/>
              <w:jc w:val="both"/>
              <w:rPr>
                <w:rFonts w:ascii="inherit" w:eastAsia="Times New Roman" w:hAnsi="inherit" w:cs="Times New Roman"/>
                <w:color w:val="000000"/>
                <w:sz w:val="24"/>
                <w:szCs w:val="24"/>
                <w:lang w:eastAsia="en-GB"/>
              </w:rPr>
            </w:pPr>
            <w:r w:rsidRPr="007F7F6A">
              <w:rPr>
                <w:rFonts w:ascii="inherit" w:eastAsia="Times New Roman" w:hAnsi="inherit" w:cs="Times New Roman"/>
                <w:color w:val="000000"/>
                <w:sz w:val="24"/>
                <w:szCs w:val="24"/>
                <w:lang w:eastAsia="en-GB"/>
              </w:rPr>
              <w:t xml:space="preserve"> </w:t>
            </w:r>
            <w:proofErr w:type="gramStart"/>
            <w:r w:rsidR="003840E6" w:rsidRPr="007F7F6A">
              <w:rPr>
                <w:rFonts w:ascii="inherit" w:eastAsia="Times New Roman" w:hAnsi="inherit" w:cs="Times New Roman"/>
                <w:color w:val="000000"/>
                <w:sz w:val="24"/>
                <w:szCs w:val="24"/>
                <w:lang w:eastAsia="en-GB"/>
              </w:rPr>
              <w:t>where</w:t>
            </w:r>
            <w:proofErr w:type="gramEnd"/>
            <w:r w:rsidR="003840E6" w:rsidRPr="007F7F6A">
              <w:rPr>
                <w:rFonts w:ascii="inherit" w:eastAsia="Times New Roman" w:hAnsi="inherit" w:cs="Times New Roman"/>
                <w:color w:val="000000"/>
                <w:sz w:val="24"/>
                <w:szCs w:val="24"/>
                <w:lang w:eastAsia="en-GB"/>
              </w:rPr>
              <w:t xml:space="preserve"> </w:t>
            </w:r>
            <w:r w:rsidR="002C3FFF" w:rsidRPr="007F7F6A">
              <w:rPr>
                <w:rFonts w:ascii="inherit" w:eastAsia="Times New Roman" w:hAnsi="inherit" w:cs="Times New Roman"/>
                <w:color w:val="000000"/>
                <w:sz w:val="24"/>
                <w:szCs w:val="24"/>
                <w:lang w:eastAsia="en-GB"/>
              </w:rPr>
              <w:t xml:space="preserve">captive </w:t>
            </w:r>
            <w:r w:rsidR="003840E6" w:rsidRPr="007F7F6A">
              <w:rPr>
                <w:rFonts w:ascii="inherit" w:eastAsia="Times New Roman" w:hAnsi="inherit" w:cs="Times New Roman"/>
                <w:color w:val="000000"/>
                <w:sz w:val="24"/>
                <w:szCs w:val="24"/>
                <w:lang w:eastAsia="en-GB"/>
              </w:rPr>
              <w:t>insurance undertakings are engaged in both life and non-life insurance activity, template S.28.02.01 of Annex</w:t>
            </w:r>
            <w:r w:rsidR="003840E6" w:rsidRPr="007F7F6A">
              <w:rPr>
                <w:rFonts w:ascii="inherit" w:eastAsia="Times New Roman" w:hAnsi="inherit" w:cs="Times New Roman" w:hint="eastAsia"/>
                <w:color w:val="000000"/>
                <w:sz w:val="24"/>
                <w:szCs w:val="24"/>
                <w:lang w:eastAsia="en-GB"/>
              </w:rPr>
              <w:t> </w:t>
            </w:r>
            <w:r w:rsidR="003840E6" w:rsidRPr="007F7F6A">
              <w:rPr>
                <w:rFonts w:ascii="inherit" w:eastAsia="Times New Roman" w:hAnsi="inherit" w:cs="Times New Roman"/>
                <w:color w:val="000000"/>
                <w:sz w:val="24"/>
                <w:szCs w:val="24"/>
                <w:lang w:eastAsia="en-GB"/>
              </w:rPr>
              <w:t>I, specifying the Minimum Capital Requirement, following the instructions set out in section S.28.02 of Annex</w:t>
            </w:r>
            <w:r w:rsidR="003840E6" w:rsidRPr="007F7F6A">
              <w:rPr>
                <w:rFonts w:ascii="inherit" w:eastAsia="Times New Roman" w:hAnsi="inherit" w:cs="Times New Roman" w:hint="eastAsia"/>
                <w:color w:val="000000"/>
                <w:sz w:val="24"/>
                <w:szCs w:val="24"/>
                <w:lang w:eastAsia="en-GB"/>
              </w:rPr>
              <w:t> </w:t>
            </w:r>
            <w:r w:rsidR="003840E6" w:rsidRPr="007F7F6A">
              <w:rPr>
                <w:rFonts w:ascii="inherit" w:eastAsia="Times New Roman" w:hAnsi="inherit" w:cs="Times New Roman"/>
                <w:color w:val="000000"/>
                <w:sz w:val="24"/>
                <w:szCs w:val="24"/>
                <w:lang w:eastAsia="en-GB"/>
              </w:rPr>
              <w:t>II.</w:t>
            </w:r>
          </w:p>
        </w:tc>
      </w:tr>
    </w:tbl>
    <w:p w14:paraId="6BC0D3A5" w14:textId="2A35A30E" w:rsidR="000A3A8F" w:rsidRPr="000A3A8F" w:rsidRDefault="00CD065A"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8</w:t>
      </w:r>
    </w:p>
    <w:p w14:paraId="5F84487E" w14:textId="79D6EB81"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Simplifications allowed on quarterly reporting for individual undertakings</w:t>
      </w:r>
      <w:r w:rsidR="003D3966">
        <w:rPr>
          <w:rFonts w:ascii="Times New Roman" w:eastAsia="Times New Roman" w:hAnsi="Times New Roman" w:cs="Times New Roman"/>
          <w:b/>
          <w:bCs/>
          <w:color w:val="000000"/>
          <w:sz w:val="24"/>
          <w:szCs w:val="24"/>
          <w:lang w:eastAsia="en-GB"/>
        </w:rPr>
        <w:t xml:space="preserve"> and captive insurance and captive reinsurance undertakings</w:t>
      </w:r>
    </w:p>
    <w:p w14:paraId="70DDE4CF" w14:textId="6AF5EBFB"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1.   With regard to the information referred to in </w:t>
      </w:r>
      <w:r w:rsidRPr="00B52FF6">
        <w:rPr>
          <w:rFonts w:ascii="Times New Roman" w:eastAsia="Times New Roman" w:hAnsi="Times New Roman" w:cs="Times New Roman"/>
          <w:color w:val="000000"/>
          <w:sz w:val="24"/>
          <w:szCs w:val="24"/>
          <w:lang w:eastAsia="en-GB"/>
        </w:rPr>
        <w:t xml:space="preserve">point (c) of Article </w:t>
      </w:r>
      <w:r w:rsidR="00A13CC0" w:rsidRPr="00B52FF6">
        <w:rPr>
          <w:rFonts w:ascii="Times New Roman" w:eastAsia="Times New Roman" w:hAnsi="Times New Roman" w:cs="Times New Roman"/>
          <w:color w:val="000000"/>
          <w:sz w:val="24"/>
          <w:szCs w:val="24"/>
          <w:lang w:eastAsia="en-GB"/>
        </w:rPr>
        <w:t>7</w:t>
      </w:r>
      <w:r w:rsidR="002C3FFF" w:rsidRPr="00B52FF6">
        <w:rPr>
          <w:rFonts w:ascii="Times New Roman" w:eastAsia="Times New Roman" w:hAnsi="Times New Roman" w:cs="Times New Roman"/>
          <w:color w:val="000000"/>
          <w:sz w:val="24"/>
          <w:szCs w:val="24"/>
          <w:lang w:eastAsia="en-GB"/>
        </w:rPr>
        <w:t>(1)</w:t>
      </w:r>
      <w:r w:rsidR="003840E6" w:rsidRPr="00B52FF6">
        <w:rPr>
          <w:rFonts w:ascii="Times New Roman" w:eastAsia="Times New Roman" w:hAnsi="Times New Roman" w:cs="Times New Roman"/>
          <w:color w:val="000000"/>
          <w:sz w:val="24"/>
          <w:szCs w:val="24"/>
          <w:lang w:eastAsia="en-GB"/>
        </w:rPr>
        <w:t xml:space="preserve"> </w:t>
      </w:r>
      <w:r w:rsidR="002C3FFF" w:rsidRPr="00B52FF6">
        <w:rPr>
          <w:rFonts w:ascii="Times New Roman" w:eastAsia="Times New Roman" w:hAnsi="Times New Roman" w:cs="Times New Roman"/>
          <w:color w:val="000000"/>
          <w:sz w:val="24"/>
          <w:szCs w:val="24"/>
          <w:lang w:eastAsia="en-GB"/>
        </w:rPr>
        <w:t xml:space="preserve">and point </w:t>
      </w:r>
      <w:r w:rsidR="008F6843" w:rsidRPr="00B52FF6">
        <w:rPr>
          <w:rFonts w:ascii="Times New Roman" w:eastAsia="Times New Roman" w:hAnsi="Times New Roman" w:cs="Times New Roman"/>
          <w:color w:val="000000"/>
          <w:sz w:val="24"/>
          <w:szCs w:val="24"/>
          <w:lang w:eastAsia="en-GB"/>
        </w:rPr>
        <w:t xml:space="preserve">(c) </w:t>
      </w:r>
      <w:r w:rsidR="002C3FFF" w:rsidRPr="00B52FF6">
        <w:rPr>
          <w:rFonts w:ascii="Times New Roman" w:eastAsia="Times New Roman" w:hAnsi="Times New Roman" w:cs="Times New Roman"/>
          <w:color w:val="000000"/>
          <w:sz w:val="24"/>
          <w:szCs w:val="24"/>
          <w:lang w:eastAsia="en-GB"/>
        </w:rPr>
        <w:t xml:space="preserve">of </w:t>
      </w:r>
      <w:r w:rsidR="00C764F9" w:rsidRPr="00B52FF6">
        <w:rPr>
          <w:rFonts w:ascii="Times New Roman" w:eastAsia="Times New Roman" w:hAnsi="Times New Roman" w:cs="Times New Roman"/>
          <w:color w:val="000000"/>
          <w:sz w:val="24"/>
          <w:szCs w:val="24"/>
          <w:lang w:eastAsia="en-GB"/>
        </w:rPr>
        <w:t>A</w:t>
      </w:r>
      <w:r w:rsidR="00A13CC0" w:rsidRPr="00B52FF6">
        <w:rPr>
          <w:rFonts w:ascii="Times New Roman" w:eastAsia="Times New Roman" w:hAnsi="Times New Roman" w:cs="Times New Roman"/>
          <w:color w:val="000000"/>
          <w:sz w:val="24"/>
          <w:szCs w:val="24"/>
          <w:lang w:eastAsia="en-GB"/>
        </w:rPr>
        <w:t>rticle</w:t>
      </w:r>
      <w:r w:rsidR="00A13CC0">
        <w:rPr>
          <w:rFonts w:ascii="Times New Roman" w:eastAsia="Times New Roman" w:hAnsi="Times New Roman" w:cs="Times New Roman"/>
          <w:color w:val="000000"/>
          <w:sz w:val="24"/>
          <w:szCs w:val="24"/>
          <w:lang w:eastAsia="en-GB"/>
        </w:rPr>
        <w:t xml:space="preserve"> 7</w:t>
      </w:r>
      <w:r w:rsidR="002C3FFF">
        <w:rPr>
          <w:rFonts w:ascii="Times New Roman" w:eastAsia="Times New Roman" w:hAnsi="Times New Roman" w:cs="Times New Roman"/>
          <w:color w:val="000000"/>
          <w:sz w:val="24"/>
          <w:szCs w:val="24"/>
          <w:lang w:eastAsia="en-GB"/>
        </w:rPr>
        <w:t>a</w:t>
      </w:r>
      <w:r w:rsidR="00BB0AEE">
        <w:rPr>
          <w:rFonts w:ascii="Times New Roman" w:eastAsia="Times New Roman" w:hAnsi="Times New Roman" w:cs="Times New Roman"/>
          <w:color w:val="000000"/>
          <w:sz w:val="24"/>
          <w:szCs w:val="24"/>
          <w:lang w:eastAsia="en-GB"/>
        </w:rPr>
        <w:t xml:space="preserve"> of this Regulation</w:t>
      </w:r>
      <w:r w:rsidRPr="000A3A8F">
        <w:rPr>
          <w:rFonts w:ascii="Times New Roman" w:eastAsia="Times New Roman" w:hAnsi="Times New Roman" w:cs="Times New Roman"/>
          <w:color w:val="000000"/>
          <w:sz w:val="24"/>
          <w:szCs w:val="24"/>
          <w:lang w:eastAsia="en-GB"/>
        </w:rPr>
        <w:t>, quarterly measurements may rely on estimates and estimation methods to a greater extent than measurements of annual financial data. The measurement procedures for the quarterly reporting shall be designed to ensure that the resulting information is reliable and complies with the standards laid down in Directive 2009/138/EC and that all material information that is relevant for the understanding of the data is reported.</w:t>
      </w:r>
    </w:p>
    <w:p w14:paraId="0B9FCDA4" w14:textId="0083635C"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2.   When submitting the information referred to </w:t>
      </w:r>
      <w:r w:rsidRPr="00B52FF6">
        <w:rPr>
          <w:rFonts w:ascii="Times New Roman" w:eastAsia="Times New Roman" w:hAnsi="Times New Roman" w:cs="Times New Roman"/>
          <w:color w:val="000000"/>
          <w:sz w:val="24"/>
          <w:szCs w:val="24"/>
          <w:lang w:eastAsia="en-GB"/>
        </w:rPr>
        <w:t>in points (</w:t>
      </w:r>
      <w:r w:rsidR="00A212AA">
        <w:rPr>
          <w:rFonts w:ascii="Times New Roman" w:eastAsia="Times New Roman" w:hAnsi="Times New Roman" w:cs="Times New Roman"/>
          <w:color w:val="000000"/>
          <w:sz w:val="24"/>
          <w:szCs w:val="24"/>
          <w:lang w:eastAsia="en-GB"/>
        </w:rPr>
        <w:t>h) and (</w:t>
      </w:r>
      <w:proofErr w:type="spellStart"/>
      <w:r w:rsidR="00A212AA">
        <w:rPr>
          <w:rFonts w:ascii="Times New Roman" w:eastAsia="Times New Roman" w:hAnsi="Times New Roman" w:cs="Times New Roman"/>
          <w:color w:val="000000"/>
          <w:sz w:val="24"/>
          <w:szCs w:val="24"/>
          <w:lang w:eastAsia="en-GB"/>
        </w:rPr>
        <w:t>i</w:t>
      </w:r>
      <w:proofErr w:type="spellEnd"/>
      <w:r w:rsidRPr="00B52FF6">
        <w:rPr>
          <w:rFonts w:ascii="Times New Roman" w:eastAsia="Times New Roman" w:hAnsi="Times New Roman" w:cs="Times New Roman"/>
          <w:color w:val="000000"/>
          <w:sz w:val="24"/>
          <w:szCs w:val="24"/>
          <w:lang w:eastAsia="en-GB"/>
        </w:rPr>
        <w:t xml:space="preserve">) of Article </w:t>
      </w:r>
      <w:r w:rsidR="00A13CC0" w:rsidRPr="00B52FF6">
        <w:rPr>
          <w:rFonts w:ascii="Times New Roman" w:eastAsia="Times New Roman" w:hAnsi="Times New Roman" w:cs="Times New Roman"/>
          <w:color w:val="000000"/>
          <w:sz w:val="24"/>
          <w:szCs w:val="24"/>
          <w:lang w:eastAsia="en-GB"/>
        </w:rPr>
        <w:t>7</w:t>
      </w:r>
      <w:r w:rsidRPr="00B52FF6">
        <w:rPr>
          <w:rFonts w:ascii="Times New Roman" w:eastAsia="Times New Roman" w:hAnsi="Times New Roman" w:cs="Times New Roman"/>
          <w:color w:val="000000"/>
          <w:sz w:val="24"/>
          <w:szCs w:val="24"/>
          <w:lang w:eastAsia="en-GB"/>
        </w:rPr>
        <w:t>(1)</w:t>
      </w:r>
      <w:r w:rsidR="002C3FFF" w:rsidRPr="00B52FF6">
        <w:rPr>
          <w:rFonts w:ascii="Times New Roman" w:eastAsia="Times New Roman" w:hAnsi="Times New Roman" w:cs="Times New Roman"/>
          <w:color w:val="000000"/>
          <w:sz w:val="24"/>
          <w:szCs w:val="24"/>
          <w:lang w:eastAsia="en-GB"/>
        </w:rPr>
        <w:t xml:space="preserve"> and point </w:t>
      </w:r>
      <w:r w:rsidR="00AF1426" w:rsidRPr="00B52FF6">
        <w:rPr>
          <w:rFonts w:ascii="Times New Roman" w:eastAsia="Times New Roman" w:hAnsi="Times New Roman" w:cs="Times New Roman"/>
          <w:color w:val="000000"/>
          <w:sz w:val="24"/>
          <w:szCs w:val="24"/>
          <w:lang w:eastAsia="en-GB"/>
        </w:rPr>
        <w:t>(e</w:t>
      </w:r>
      <w:r w:rsidR="008F6843" w:rsidRPr="00B52FF6">
        <w:rPr>
          <w:rFonts w:ascii="Times New Roman" w:eastAsia="Times New Roman" w:hAnsi="Times New Roman" w:cs="Times New Roman"/>
          <w:color w:val="000000"/>
          <w:sz w:val="24"/>
          <w:szCs w:val="24"/>
          <w:lang w:eastAsia="en-GB"/>
        </w:rPr>
        <w:t>) and (</w:t>
      </w:r>
      <w:r w:rsidR="00AF1426" w:rsidRPr="00B52FF6">
        <w:rPr>
          <w:rFonts w:ascii="Times New Roman" w:eastAsia="Times New Roman" w:hAnsi="Times New Roman" w:cs="Times New Roman"/>
          <w:color w:val="000000"/>
          <w:sz w:val="24"/>
          <w:szCs w:val="24"/>
          <w:lang w:eastAsia="en-GB"/>
        </w:rPr>
        <w:t>f</w:t>
      </w:r>
      <w:r w:rsidR="008F6843" w:rsidRPr="00B52FF6">
        <w:rPr>
          <w:rFonts w:ascii="Times New Roman" w:eastAsia="Times New Roman" w:hAnsi="Times New Roman" w:cs="Times New Roman"/>
          <w:color w:val="000000"/>
          <w:sz w:val="24"/>
          <w:szCs w:val="24"/>
          <w:lang w:eastAsia="en-GB"/>
        </w:rPr>
        <w:t xml:space="preserve">) </w:t>
      </w:r>
      <w:r w:rsidR="002C3FFF" w:rsidRPr="00B52FF6">
        <w:rPr>
          <w:rFonts w:ascii="Times New Roman" w:eastAsia="Times New Roman" w:hAnsi="Times New Roman" w:cs="Times New Roman"/>
          <w:color w:val="000000"/>
          <w:sz w:val="24"/>
          <w:szCs w:val="24"/>
          <w:lang w:eastAsia="en-GB"/>
        </w:rPr>
        <w:t xml:space="preserve">of </w:t>
      </w:r>
      <w:r w:rsidR="00A74DA1" w:rsidRPr="00B52FF6">
        <w:rPr>
          <w:rFonts w:ascii="Times New Roman" w:eastAsia="Times New Roman" w:hAnsi="Times New Roman" w:cs="Times New Roman"/>
          <w:color w:val="000000"/>
          <w:sz w:val="24"/>
          <w:szCs w:val="24"/>
          <w:lang w:eastAsia="en-GB"/>
        </w:rPr>
        <w:t>A</w:t>
      </w:r>
      <w:r w:rsidR="00A13CC0" w:rsidRPr="00B52FF6">
        <w:rPr>
          <w:rFonts w:ascii="Times New Roman" w:eastAsia="Times New Roman" w:hAnsi="Times New Roman" w:cs="Times New Roman"/>
          <w:color w:val="000000"/>
          <w:sz w:val="24"/>
          <w:szCs w:val="24"/>
          <w:lang w:eastAsia="en-GB"/>
        </w:rPr>
        <w:t>rticle 7</w:t>
      </w:r>
      <w:r w:rsidR="002C3FFF" w:rsidRPr="00B52FF6">
        <w:rPr>
          <w:rFonts w:ascii="Times New Roman" w:eastAsia="Times New Roman" w:hAnsi="Times New Roman" w:cs="Times New Roman"/>
          <w:color w:val="000000"/>
          <w:sz w:val="24"/>
          <w:szCs w:val="24"/>
          <w:lang w:eastAsia="en-GB"/>
        </w:rPr>
        <w:t>a</w:t>
      </w:r>
      <w:r w:rsidR="00BB0AEE">
        <w:rPr>
          <w:rFonts w:ascii="Times New Roman" w:eastAsia="Times New Roman" w:hAnsi="Times New Roman" w:cs="Times New Roman"/>
          <w:color w:val="000000"/>
          <w:sz w:val="24"/>
          <w:szCs w:val="24"/>
          <w:lang w:eastAsia="en-GB"/>
        </w:rPr>
        <w:t xml:space="preserve"> of this Regulation</w:t>
      </w:r>
      <w:r w:rsidRPr="000A3A8F">
        <w:rPr>
          <w:rFonts w:ascii="Times New Roman" w:eastAsia="Times New Roman" w:hAnsi="Times New Roman" w:cs="Times New Roman"/>
          <w:color w:val="000000"/>
          <w:sz w:val="24"/>
          <w:szCs w:val="24"/>
          <w:lang w:eastAsia="en-GB"/>
        </w:rPr>
        <w:t>, insurance and reinsurance undertakings</w:t>
      </w:r>
      <w:r w:rsidR="00526988">
        <w:rPr>
          <w:rFonts w:ascii="Times New Roman" w:eastAsia="Times New Roman" w:hAnsi="Times New Roman" w:cs="Times New Roman"/>
          <w:color w:val="000000"/>
          <w:sz w:val="24"/>
          <w:szCs w:val="24"/>
          <w:lang w:eastAsia="en-GB"/>
        </w:rPr>
        <w:t xml:space="preserve"> and </w:t>
      </w:r>
      <w:r w:rsidR="00526988" w:rsidRPr="00526988">
        <w:rPr>
          <w:rFonts w:ascii="Times New Roman" w:eastAsia="Times New Roman" w:hAnsi="Times New Roman" w:cs="Times New Roman"/>
          <w:color w:val="000000"/>
          <w:sz w:val="24"/>
          <w:szCs w:val="24"/>
          <w:lang w:eastAsia="en-GB"/>
        </w:rPr>
        <w:t>captive insurance and captive reinsurance undertakings</w:t>
      </w:r>
      <w:r w:rsidRPr="000A3A8F">
        <w:rPr>
          <w:rFonts w:ascii="Times New Roman" w:eastAsia="Times New Roman" w:hAnsi="Times New Roman" w:cs="Times New Roman"/>
          <w:color w:val="000000"/>
          <w:sz w:val="24"/>
          <w:szCs w:val="24"/>
          <w:lang w:eastAsia="en-GB"/>
        </w:rPr>
        <w:t xml:space="preserve"> may apply simplified methods in the calculation of the technical provisions.</w:t>
      </w:r>
    </w:p>
    <w:p w14:paraId="0CA0CA8C" w14:textId="259C9FE6" w:rsidR="000A3A8F" w:rsidRPr="000A3A8F" w:rsidRDefault="00CD065A"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9</w:t>
      </w:r>
    </w:p>
    <w:p w14:paraId="0F8718A8" w14:textId="22D15B15" w:rsidR="000A3A8F" w:rsidRPr="000A3A8F" w:rsidRDefault="000A3A8F" w:rsidP="007E2BEC">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individual undertakings </w:t>
      </w:r>
      <w:r w:rsidR="007E2BEC">
        <w:rPr>
          <w:rFonts w:ascii="Times New Roman" w:eastAsia="Times New Roman" w:hAnsi="Times New Roman" w:cs="Times New Roman"/>
          <w:b/>
          <w:bCs/>
          <w:color w:val="000000"/>
          <w:sz w:val="24"/>
          <w:szCs w:val="24"/>
          <w:lang w:eastAsia="en-GB"/>
        </w:rPr>
        <w:t>and captive insurance and captive reinsurance undertakings</w:t>
      </w:r>
      <w:r w:rsidR="007E2BEC"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Basic information and content of submission</w:t>
      </w:r>
      <w:r w:rsidR="003D3966">
        <w:rPr>
          <w:rFonts w:ascii="Times New Roman" w:eastAsia="Times New Roman" w:hAnsi="Times New Roman" w:cs="Times New Roman"/>
          <w:b/>
          <w:bCs/>
          <w:color w:val="000000"/>
          <w:sz w:val="24"/>
          <w:szCs w:val="24"/>
          <w:lang w:eastAsia="en-GB"/>
        </w:rPr>
        <w:t xml:space="preserve"> </w:t>
      </w:r>
    </w:p>
    <w:p w14:paraId="4CC9968F" w14:textId="77777777" w:rsidR="000A3A8F" w:rsidRPr="000A3A8F" w:rsidRDefault="000A3A8F" w:rsidP="007E2BEC">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E2BEC">
        <w:rPr>
          <w:rFonts w:ascii="Times New Roman" w:eastAsia="Times New Roman" w:hAnsi="Times New Roman" w:cs="Times New Roman"/>
          <w:color w:val="000000"/>
          <w:sz w:val="24"/>
          <w:szCs w:val="24"/>
          <w:lang w:eastAsia="en-GB"/>
        </w:rPr>
        <w:t xml:space="preserve">and </w:t>
      </w:r>
      <w:r w:rsidR="007E2BEC" w:rsidRPr="007E2BEC">
        <w:rPr>
          <w:rFonts w:ascii="Times New Roman" w:eastAsia="Times New Roman" w:hAnsi="Times New Roman" w:cs="Times New Roman"/>
          <w:color w:val="000000"/>
          <w:sz w:val="24"/>
          <w:szCs w:val="24"/>
          <w:lang w:eastAsia="en-GB"/>
        </w:rPr>
        <w:t xml:space="preserve">captive insurance and captive reinsurance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AA8A0F1" w14:textId="77777777" w:rsidTr="000A3A8F">
        <w:tc>
          <w:tcPr>
            <w:tcW w:w="0" w:type="auto"/>
            <w:shd w:val="clear" w:color="auto" w:fill="FFFFFF"/>
            <w:hideMark/>
          </w:tcPr>
          <w:p w14:paraId="6CA1C84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58C83C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S.01.01.01 of Annex I, specifying the content of the submission, following the instructions set out in section S.01.01 of Annex II;</w:t>
            </w:r>
          </w:p>
        </w:tc>
      </w:tr>
    </w:tbl>
    <w:p w14:paraId="42331F1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6931570" w14:textId="77777777" w:rsidTr="000A3A8F">
        <w:tc>
          <w:tcPr>
            <w:tcW w:w="0" w:type="auto"/>
            <w:shd w:val="clear" w:color="auto" w:fill="FFFFFF"/>
            <w:hideMark/>
          </w:tcPr>
          <w:p w14:paraId="3E3D3BA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4E27592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S.01.02.01 of Annex I, specifying basic information on the undertaking and the content of the reporting in general, following the instructions set out in section S.01.02 of Annex II;</w:t>
            </w:r>
          </w:p>
        </w:tc>
      </w:tr>
    </w:tbl>
    <w:p w14:paraId="63AA4A5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5A787B0" w14:textId="77777777" w:rsidTr="000A3A8F">
        <w:tc>
          <w:tcPr>
            <w:tcW w:w="0" w:type="auto"/>
            <w:shd w:val="clear" w:color="auto" w:fill="FFFFFF"/>
            <w:hideMark/>
          </w:tcPr>
          <w:p w14:paraId="16F2F7F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021EE0E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S.01.03.01 of Annex I, specifying basic information on the ring-fenced funds and matching adjustment portfolios, following the instructions set out in section S.01.03 of Annex II.</w:t>
            </w:r>
          </w:p>
        </w:tc>
      </w:tr>
    </w:tbl>
    <w:p w14:paraId="370D4F7F" w14:textId="18D98183"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 xml:space="preserve">Article </w:t>
      </w:r>
      <w:r w:rsidR="00CD065A">
        <w:rPr>
          <w:rFonts w:ascii="Times New Roman" w:eastAsia="Times New Roman" w:hAnsi="Times New Roman" w:cs="Times New Roman"/>
          <w:i/>
          <w:iCs/>
          <w:color w:val="000000"/>
          <w:sz w:val="24"/>
          <w:szCs w:val="24"/>
          <w:lang w:eastAsia="en-GB"/>
        </w:rPr>
        <w:t>10</w:t>
      </w:r>
    </w:p>
    <w:p w14:paraId="14AF7C8D" w14:textId="528701F2"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853267">
        <w:rPr>
          <w:rFonts w:ascii="Times New Roman" w:eastAsia="Times New Roman" w:hAnsi="Times New Roman" w:cs="Times New Roman"/>
          <w:b/>
          <w:color w:val="000000"/>
          <w:sz w:val="24"/>
          <w:szCs w:val="24"/>
          <w:lang w:eastAsia="en-GB"/>
        </w:rPr>
        <w:t>Annual quantitative templates for individual undertakings</w:t>
      </w:r>
      <w:r w:rsidR="00692601" w:rsidRPr="00853267">
        <w:rPr>
          <w:rFonts w:ascii="Times New Roman" w:eastAsia="Times New Roman" w:hAnsi="Times New Roman" w:cs="Times New Roman"/>
          <w:b/>
          <w:color w:val="000000"/>
          <w:sz w:val="24"/>
          <w:szCs w:val="24"/>
          <w:lang w:eastAsia="en-GB"/>
        </w:rPr>
        <w:t xml:space="preserve"> </w:t>
      </w:r>
      <w:r w:rsidRPr="00853267">
        <w:rPr>
          <w:rFonts w:ascii="Times New Roman" w:eastAsia="Times New Roman" w:hAnsi="Times New Roman" w:cs="Times New Roman"/>
          <w:b/>
          <w:color w:val="000000"/>
          <w:sz w:val="24"/>
          <w:szCs w:val="24"/>
          <w:lang w:eastAsia="en-GB"/>
        </w:rPr>
        <w:t>— Balance sheet and other general information</w:t>
      </w:r>
    </w:p>
    <w:p w14:paraId="64C13F86" w14:textId="77777777" w:rsidR="00CD065A" w:rsidRDefault="000A3A8F"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 reinsurance undertakings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r w:rsidR="00CD065A" w:rsidRPr="00CD065A">
        <w:rPr>
          <w:rFonts w:ascii="inherit" w:eastAsia="Times New Roman" w:hAnsi="inherit" w:cs="Times New Roman"/>
          <w:color w:val="000000"/>
          <w:sz w:val="24"/>
          <w:szCs w:val="24"/>
          <w:lang w:eastAsia="en-GB"/>
        </w:rPr>
        <w:t xml:space="preserve"> </w:t>
      </w:r>
    </w:p>
    <w:p w14:paraId="2B49F6A7" w14:textId="0AD1D7C3" w:rsidR="000A3A8F" w:rsidRDefault="00CD065A"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(a) </w:t>
      </w:r>
      <w:r w:rsidRPr="000A3A8F">
        <w:rPr>
          <w:rFonts w:ascii="inherit" w:eastAsia="Times New Roman" w:hAnsi="inherit" w:cs="Times New Roman"/>
          <w:color w:val="000000"/>
          <w:sz w:val="24"/>
          <w:szCs w:val="24"/>
          <w:lang w:eastAsia="en-GB"/>
        </w:rPr>
        <w:t>template S.02.01.01 of Annex I, specifying balance sheet information using the valuation in accordance with Article 75 of Directive 2009/138/EC and the valuation following the undertaking's financial statements, following the instructions set out in section S.02.01 of Annex II to this Regulation;</w:t>
      </w:r>
    </w:p>
    <w:p w14:paraId="2F4F0DFC" w14:textId="28348608" w:rsidR="00CD065A" w:rsidRDefault="00CD065A"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(b) </w:t>
      </w:r>
      <w:r w:rsidRPr="00CA32E7">
        <w:rPr>
          <w:rFonts w:ascii="inherit" w:eastAsia="Times New Roman" w:hAnsi="inherit" w:cs="Times New Roman"/>
          <w:color w:val="000000"/>
          <w:sz w:val="24"/>
          <w:szCs w:val="24"/>
          <w:lang w:eastAsia="en-GB"/>
        </w:rPr>
        <w:t>unless one single currency represents more than 80 % of the total liabilities</w:t>
      </w:r>
      <w:r>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template S.02.02.01 of Annex I, specifying information on liabilities by currency, following the instructions set out in section S.02.02 of Annex II;</w:t>
      </w:r>
    </w:p>
    <w:p w14:paraId="04C50805" w14:textId="137DC5B5" w:rsidR="00CD065A" w:rsidRDefault="00CD065A" w:rsidP="00CD065A">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(c)</w:t>
      </w:r>
      <w:r w:rsidRPr="00CD065A">
        <w:rPr>
          <w:rFonts w:ascii="inherit" w:eastAsia="Times New Roman" w:hAnsi="inherit" w:cs="Times New Roman"/>
          <w:color w:val="000000"/>
          <w:sz w:val="24"/>
          <w:szCs w:val="24"/>
          <w:lang w:eastAsia="en-GB"/>
        </w:rPr>
        <w:t xml:space="preserve"> </w:t>
      </w:r>
      <w:proofErr w:type="gramStart"/>
      <w:r w:rsidRPr="009B7350">
        <w:rPr>
          <w:rFonts w:ascii="inherit" w:eastAsia="Times New Roman" w:hAnsi="inherit" w:cs="Times New Roman"/>
          <w:color w:val="000000"/>
          <w:sz w:val="24"/>
          <w:szCs w:val="24"/>
          <w:lang w:eastAsia="en-GB"/>
        </w:rPr>
        <w:t>w</w:t>
      </w:r>
      <w:r>
        <w:rPr>
          <w:rFonts w:ascii="inherit" w:eastAsia="Times New Roman" w:hAnsi="inherit" w:cs="Times New Roman"/>
          <w:color w:val="000000"/>
          <w:sz w:val="24"/>
          <w:szCs w:val="24"/>
          <w:lang w:eastAsia="en-GB"/>
        </w:rPr>
        <w:t>here</w:t>
      </w:r>
      <w:proofErr w:type="gramEnd"/>
      <w:r>
        <w:rPr>
          <w:rFonts w:ascii="inherit" w:eastAsia="Times New Roman" w:hAnsi="inherit" w:cs="Times New Roman"/>
          <w:color w:val="000000"/>
          <w:sz w:val="24"/>
          <w:szCs w:val="24"/>
          <w:lang w:eastAsia="en-GB"/>
        </w:rPr>
        <w:t xml:space="preserve"> any of the following conditions apply, </w:t>
      </w:r>
      <w:r w:rsidRPr="000A3A8F">
        <w:rPr>
          <w:rFonts w:ascii="inherit" w:eastAsia="Times New Roman" w:hAnsi="inherit" w:cs="Times New Roman"/>
          <w:color w:val="000000"/>
          <w:sz w:val="24"/>
          <w:szCs w:val="24"/>
          <w:lang w:eastAsia="en-GB"/>
        </w:rPr>
        <w:t>template S.03.01.01 of Annex I, specifying general information on off-balance sheet items, following the instructions set out in section S.03.01 of Annex II</w:t>
      </w:r>
      <w:r>
        <w:rPr>
          <w:rFonts w:ascii="inherit" w:eastAsia="Times New Roman" w:hAnsi="inherit" w:cs="Times New Roman"/>
          <w:color w:val="000000"/>
          <w:sz w:val="24"/>
          <w:szCs w:val="24"/>
          <w:lang w:eastAsia="en-GB"/>
        </w:rPr>
        <w:t xml:space="preserve">: </w:t>
      </w:r>
    </w:p>
    <w:p w14:paraId="72E6E6DC" w14:textId="272C687F" w:rsidR="00CD065A" w:rsidRPr="00E70C65" w:rsidRDefault="00CD065A" w:rsidP="00CD065A">
      <w:pPr>
        <w:spacing w:before="120" w:after="0" w:line="240" w:lineRule="auto"/>
        <w:ind w:left="296"/>
        <w:jc w:val="both"/>
        <w:rPr>
          <w:rFonts w:ascii="inherit" w:eastAsia="Times New Roman" w:hAnsi="inherit" w:cs="Times New Roman"/>
          <w:color w:val="000000"/>
          <w:sz w:val="24"/>
          <w:szCs w:val="24"/>
          <w:lang w:eastAsia="en-GB"/>
        </w:rPr>
      </w:pP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w:t>
      </w:r>
      <w:proofErr w:type="gramStart"/>
      <w:r w:rsidRPr="00E70C65">
        <w:rPr>
          <w:rFonts w:ascii="inherit" w:eastAsia="Times New Roman" w:hAnsi="inherit" w:cs="Times New Roman"/>
          <w:color w:val="000000"/>
          <w:sz w:val="24"/>
          <w:szCs w:val="24"/>
          <w:lang w:eastAsia="en-GB"/>
        </w:rPr>
        <w:t>the</w:t>
      </w:r>
      <w:proofErr w:type="gramEnd"/>
      <w:r w:rsidRPr="00E70C65">
        <w:rPr>
          <w:rFonts w:ascii="inherit" w:eastAsia="Times New Roman" w:hAnsi="inherit" w:cs="Times New Roman"/>
          <w:color w:val="000000"/>
          <w:sz w:val="24"/>
          <w:szCs w:val="24"/>
          <w:lang w:eastAsia="en-GB"/>
        </w:rPr>
        <w:t xml:space="preserve"> amount of any of the following </w:t>
      </w:r>
      <w:r>
        <w:rPr>
          <w:rFonts w:ascii="inherit" w:eastAsia="Times New Roman" w:hAnsi="inherit" w:cs="Times New Roman"/>
          <w:color w:val="000000"/>
          <w:sz w:val="24"/>
          <w:szCs w:val="24"/>
          <w:lang w:eastAsia="en-GB"/>
        </w:rPr>
        <w:t>values</w:t>
      </w:r>
      <w:r w:rsidRPr="00E70C65">
        <w:rPr>
          <w:rFonts w:ascii="inherit" w:eastAsia="Times New Roman" w:hAnsi="inherit" w:cs="Times New Roman"/>
          <w:color w:val="000000"/>
          <w:sz w:val="24"/>
          <w:szCs w:val="24"/>
          <w:lang w:eastAsia="en-GB"/>
        </w:rPr>
        <w:t xml:space="preserve"> is higher than 2% of Total Assets:</w:t>
      </w:r>
    </w:p>
    <w:p w14:paraId="1F338082" w14:textId="77777777" w:rsidR="00CD065A" w:rsidRPr="00853267" w:rsidRDefault="00CD065A" w:rsidP="00CD065A">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Pr="00853267">
        <w:rPr>
          <w:rFonts w:ascii="inherit" w:eastAsia="Times New Roman" w:hAnsi="inherit" w:cs="Times New Roman"/>
          <w:color w:val="000000"/>
          <w:sz w:val="24"/>
          <w:szCs w:val="24"/>
          <w:lang w:eastAsia="en-GB"/>
        </w:rPr>
        <w:t xml:space="preserve">alue of guarantee/collateral/contingent liabilities — Guarantees provided by the undertaking, including letters of credit (C0020/R0010) plus </w:t>
      </w:r>
      <w:r w:rsidRPr="00CA32E7">
        <w:rPr>
          <w:rFonts w:ascii="inherit" w:eastAsia="Times New Roman" w:hAnsi="inherit" w:cs="Times New Roman"/>
          <w:color w:val="000000"/>
          <w:sz w:val="24"/>
          <w:szCs w:val="24"/>
          <w:lang w:eastAsia="en-GB"/>
        </w:rPr>
        <w:t>V</w:t>
      </w:r>
      <w:r w:rsidRPr="00853267">
        <w:rPr>
          <w:rFonts w:ascii="inherit" w:eastAsia="Times New Roman" w:hAnsi="inherit" w:cs="Times New Roman"/>
          <w:color w:val="000000"/>
          <w:sz w:val="24"/>
          <w:szCs w:val="24"/>
          <w:lang w:eastAsia="en-GB"/>
        </w:rPr>
        <w:t>alue of guarantee/collateral/contingent liabilities — Total collateral pledged (C0020/R0300) plus  Maximum value — Total Contingent liabilities (C0010/R0400); or</w:t>
      </w:r>
    </w:p>
    <w:p w14:paraId="15D5B500" w14:textId="77777777" w:rsidR="00CD065A" w:rsidRPr="00853267" w:rsidRDefault="00CD065A" w:rsidP="00CD065A">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Pr="00853267">
        <w:rPr>
          <w:rFonts w:ascii="inherit" w:eastAsia="Times New Roman" w:hAnsi="inherit" w:cs="Times New Roman"/>
          <w:color w:val="000000"/>
          <w:sz w:val="24"/>
          <w:szCs w:val="24"/>
          <w:lang w:eastAsia="en-GB"/>
        </w:rPr>
        <w:t xml:space="preserve">alue of guarantee/collateral/contingent liabilities — </w:t>
      </w:r>
      <w:r w:rsidRPr="009B7350">
        <w:rPr>
          <w:rFonts w:ascii="inherit" w:eastAsia="Times New Roman" w:hAnsi="inherit" w:cs="Times New Roman"/>
          <w:color w:val="000000"/>
          <w:sz w:val="24"/>
          <w:szCs w:val="24"/>
          <w:lang w:eastAsia="en-GB"/>
        </w:rPr>
        <w:t>G</w:t>
      </w:r>
      <w:r w:rsidRPr="00853267">
        <w:rPr>
          <w:rFonts w:ascii="inherit" w:eastAsia="Times New Roman" w:hAnsi="inherit" w:cs="Times New Roman"/>
          <w:color w:val="000000"/>
          <w:sz w:val="24"/>
          <w:szCs w:val="24"/>
          <w:lang w:eastAsia="en-GB"/>
        </w:rPr>
        <w:t xml:space="preserve">uarantees received by the undertaking, including letters of credit (C0020/R0030) plus  </w:t>
      </w:r>
      <w:r w:rsidRPr="009B7350">
        <w:rPr>
          <w:rFonts w:ascii="inherit" w:eastAsia="Times New Roman" w:hAnsi="inherit" w:cs="Times New Roman"/>
          <w:color w:val="000000"/>
          <w:sz w:val="24"/>
          <w:szCs w:val="24"/>
          <w:lang w:eastAsia="en-GB"/>
        </w:rPr>
        <w:t>V</w:t>
      </w:r>
      <w:r w:rsidRPr="00853267">
        <w:rPr>
          <w:rFonts w:ascii="inherit" w:eastAsia="Times New Roman" w:hAnsi="inherit" w:cs="Times New Roman"/>
          <w:color w:val="000000"/>
          <w:sz w:val="24"/>
          <w:szCs w:val="24"/>
          <w:lang w:eastAsia="en-GB"/>
        </w:rPr>
        <w:t xml:space="preserve">alue of guarantee/collateral/contingent liabilities — </w:t>
      </w:r>
      <w:r w:rsidRPr="009B7350">
        <w:rPr>
          <w:rFonts w:ascii="inherit" w:eastAsia="Times New Roman" w:hAnsi="inherit" w:cs="Times New Roman"/>
          <w:color w:val="000000"/>
          <w:sz w:val="24"/>
          <w:szCs w:val="24"/>
          <w:lang w:eastAsia="en-GB"/>
        </w:rPr>
        <w:t>T</w:t>
      </w:r>
      <w:r w:rsidRPr="00853267">
        <w:rPr>
          <w:rFonts w:ascii="inherit" w:eastAsia="Times New Roman" w:hAnsi="inherit" w:cs="Times New Roman"/>
          <w:color w:val="000000"/>
          <w:sz w:val="24"/>
          <w:szCs w:val="24"/>
          <w:lang w:eastAsia="en-GB"/>
        </w:rPr>
        <w:t>otal collateral held (C0020/R0200);</w:t>
      </w:r>
    </w:p>
    <w:p w14:paraId="5B165A1D" w14:textId="428D7633" w:rsidR="00CD065A" w:rsidRPr="00E70C65" w:rsidRDefault="00CD065A" w:rsidP="00CD065A">
      <w:pPr>
        <w:spacing w:before="120" w:after="0" w:line="240" w:lineRule="auto"/>
        <w:ind w:left="296"/>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ii) </w:t>
      </w:r>
      <w:proofErr w:type="gramStart"/>
      <w:r w:rsidRPr="00E70C65">
        <w:rPr>
          <w:rFonts w:ascii="inherit" w:eastAsia="Times New Roman" w:hAnsi="inherit" w:cs="Times New Roman"/>
          <w:color w:val="000000"/>
          <w:sz w:val="24"/>
          <w:szCs w:val="24"/>
          <w:lang w:eastAsia="en-GB"/>
        </w:rPr>
        <w:t>the</w:t>
      </w:r>
      <w:proofErr w:type="gramEnd"/>
      <w:r w:rsidRPr="00E70C65">
        <w:rPr>
          <w:rFonts w:ascii="inherit" w:eastAsia="Times New Roman" w:hAnsi="inherit" w:cs="Times New Roman"/>
          <w:color w:val="000000"/>
          <w:sz w:val="24"/>
          <w:szCs w:val="24"/>
          <w:lang w:eastAsia="en-GB"/>
        </w:rPr>
        <w:t xml:space="preserve"> undertaking has provided or received </w:t>
      </w:r>
      <w:r>
        <w:rPr>
          <w:rFonts w:ascii="inherit" w:eastAsia="Times New Roman" w:hAnsi="inherit" w:cs="Times New Roman"/>
          <w:color w:val="000000"/>
          <w:sz w:val="24"/>
          <w:szCs w:val="24"/>
          <w:lang w:eastAsia="en-GB"/>
        </w:rPr>
        <w:t xml:space="preserve">any </w:t>
      </w:r>
      <w:r w:rsidRPr="00E70C65">
        <w:rPr>
          <w:rFonts w:ascii="inherit" w:eastAsia="Times New Roman" w:hAnsi="inherit" w:cs="Times New Roman"/>
          <w:color w:val="000000"/>
          <w:sz w:val="24"/>
          <w:szCs w:val="24"/>
          <w:lang w:eastAsia="en-GB"/>
        </w:rPr>
        <w:t>unlimited guarantee</w:t>
      </w:r>
      <w:r w:rsidRPr="000A3A8F">
        <w:rPr>
          <w:rFonts w:ascii="inherit" w:eastAsia="Times New Roman" w:hAnsi="inherit" w:cs="Times New Roman"/>
          <w:color w:val="000000"/>
          <w:sz w:val="24"/>
          <w:szCs w:val="24"/>
          <w:lang w:eastAsia="en-GB"/>
        </w:rPr>
        <w:t>;</w:t>
      </w:r>
    </w:p>
    <w:p w14:paraId="67DECD90" w14:textId="3A5ABF8D" w:rsidR="00CD065A" w:rsidRDefault="00CD065A" w:rsidP="00CD065A">
      <w:pPr>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(d)</w:t>
      </w:r>
      <w:r w:rsidRPr="00CD065A">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S.04.02.01 of Annex I, specifying information on class 10 in Part A of Annex I of Directive 2009/138/EC, excluding carrier's liability, following the instructions set out in section S.04.02 of Annex II to this Regulation;</w:t>
      </w:r>
    </w:p>
    <w:p w14:paraId="46735CB7" w14:textId="606F8157" w:rsidR="00CD065A" w:rsidRDefault="00CD065A" w:rsidP="00CD065A">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CD065A">
        <w:rPr>
          <w:rFonts w:ascii="inherit" w:eastAsia="Times New Roman" w:hAnsi="inherit" w:cs="Times New Roman"/>
          <w:color w:val="000000"/>
          <w:sz w:val="24"/>
          <w:szCs w:val="24"/>
          <w:lang w:eastAsia="en-GB"/>
        </w:rPr>
        <w:t xml:space="preserve"> </w:t>
      </w:r>
      <w:r w:rsidRPr="005D5A1D">
        <w:rPr>
          <w:rFonts w:ascii="inherit" w:eastAsia="Times New Roman" w:hAnsi="inherit" w:cs="Times New Roman"/>
          <w:color w:val="000000"/>
          <w:sz w:val="24"/>
          <w:szCs w:val="24"/>
          <w:lang w:eastAsia="en-GB"/>
        </w:rPr>
        <w:t>template S.04.0</w:t>
      </w:r>
      <w:r>
        <w:rPr>
          <w:rFonts w:ascii="inherit" w:eastAsia="Times New Roman" w:hAnsi="inherit" w:cs="Times New Roman"/>
          <w:color w:val="000000"/>
          <w:sz w:val="24"/>
          <w:szCs w:val="24"/>
          <w:lang w:eastAsia="en-GB"/>
        </w:rPr>
        <w:t>3</w:t>
      </w:r>
      <w:r w:rsidRPr="005D5A1D">
        <w:rPr>
          <w:rFonts w:ascii="inherit" w:eastAsia="Times New Roman" w:hAnsi="inherit" w:cs="Times New Roman"/>
          <w:color w:val="000000"/>
          <w:sz w:val="24"/>
          <w:szCs w:val="24"/>
          <w:lang w:eastAsia="en-GB"/>
        </w:rPr>
        <w:t>.01 of Annex I, specifying information on Basic Information – List of underwriting entities, following the instruc</w:t>
      </w:r>
      <w:r>
        <w:rPr>
          <w:rFonts w:ascii="inherit" w:eastAsia="Times New Roman" w:hAnsi="inherit" w:cs="Times New Roman"/>
          <w:color w:val="000000"/>
          <w:sz w:val="24"/>
          <w:szCs w:val="24"/>
          <w:lang w:eastAsia="en-GB"/>
        </w:rPr>
        <w:t>tions set out in section S.04.03</w:t>
      </w:r>
      <w:r w:rsidRPr="005D5A1D">
        <w:rPr>
          <w:rFonts w:ascii="inherit" w:eastAsia="Times New Roman" w:hAnsi="inherit" w:cs="Times New Roman"/>
          <w:color w:val="000000"/>
          <w:sz w:val="24"/>
          <w:szCs w:val="24"/>
          <w:lang w:eastAsia="en-GB"/>
        </w:rPr>
        <w:t xml:space="preserve"> of Annex II to this Regulation;</w:t>
      </w:r>
    </w:p>
    <w:p w14:paraId="30C1DC2B" w14:textId="511B5BAA" w:rsidR="00CD065A" w:rsidRDefault="00CD065A" w:rsidP="00CD065A">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(f)</w:t>
      </w:r>
      <w:r w:rsidRPr="00CD065A">
        <w:rPr>
          <w:rFonts w:ascii="inherit" w:eastAsia="Times New Roman" w:hAnsi="inherit" w:cs="Times New Roman"/>
          <w:color w:val="000000"/>
          <w:sz w:val="24"/>
          <w:szCs w:val="24"/>
          <w:lang w:eastAsia="en-GB"/>
        </w:rPr>
        <w:t xml:space="preserve"> </w:t>
      </w:r>
      <w:r w:rsidRPr="005D5A1D">
        <w:rPr>
          <w:rFonts w:ascii="inherit" w:eastAsia="Times New Roman" w:hAnsi="inherit" w:cs="Times New Roman"/>
          <w:color w:val="000000"/>
          <w:sz w:val="24"/>
          <w:szCs w:val="24"/>
          <w:lang w:eastAsia="en-GB"/>
        </w:rPr>
        <w:t>template S.04.0</w:t>
      </w:r>
      <w:r>
        <w:rPr>
          <w:rFonts w:ascii="inherit" w:eastAsia="Times New Roman" w:hAnsi="inherit" w:cs="Times New Roman"/>
          <w:color w:val="000000"/>
          <w:sz w:val="24"/>
          <w:szCs w:val="24"/>
          <w:lang w:eastAsia="en-GB"/>
        </w:rPr>
        <w:t>4</w:t>
      </w:r>
      <w:r w:rsidRPr="005D5A1D">
        <w:rPr>
          <w:rFonts w:ascii="inherit" w:eastAsia="Times New Roman" w:hAnsi="inherit" w:cs="Times New Roman"/>
          <w:color w:val="000000"/>
          <w:sz w:val="24"/>
          <w:szCs w:val="24"/>
          <w:lang w:eastAsia="en-GB"/>
        </w:rPr>
        <w:t xml:space="preserve">.01 of Annex I, specifying information on </w:t>
      </w:r>
      <w:r>
        <w:rPr>
          <w:rFonts w:ascii="inherit" w:eastAsia="Times New Roman" w:hAnsi="inherit" w:cs="Times New Roman"/>
          <w:color w:val="000000"/>
          <w:sz w:val="24"/>
          <w:szCs w:val="24"/>
          <w:lang w:eastAsia="en-GB"/>
        </w:rPr>
        <w:t>a</w:t>
      </w:r>
      <w:r w:rsidRPr="005D5A1D">
        <w:rPr>
          <w:rFonts w:ascii="inherit" w:eastAsia="Times New Roman" w:hAnsi="inherit" w:cs="Times New Roman"/>
          <w:color w:val="000000"/>
          <w:sz w:val="24"/>
          <w:szCs w:val="24"/>
          <w:lang w:eastAsia="en-GB"/>
        </w:rPr>
        <w:t>ctivity by country – location of underwriting, following the instruc</w:t>
      </w:r>
      <w:r>
        <w:rPr>
          <w:rFonts w:ascii="inherit" w:eastAsia="Times New Roman" w:hAnsi="inherit" w:cs="Times New Roman"/>
          <w:color w:val="000000"/>
          <w:sz w:val="24"/>
          <w:szCs w:val="24"/>
          <w:lang w:eastAsia="en-GB"/>
        </w:rPr>
        <w:t>tions set out in section S.04.04</w:t>
      </w:r>
      <w:r w:rsidRPr="005D5A1D">
        <w:rPr>
          <w:rFonts w:ascii="inherit" w:eastAsia="Times New Roman" w:hAnsi="inherit" w:cs="Times New Roman"/>
          <w:color w:val="000000"/>
          <w:sz w:val="24"/>
          <w:szCs w:val="24"/>
          <w:lang w:eastAsia="en-GB"/>
        </w:rPr>
        <w:t xml:space="preserve"> of Annex II to this Regulation;</w:t>
      </w:r>
    </w:p>
    <w:p w14:paraId="21987867" w14:textId="27A81E23" w:rsidR="00CD065A" w:rsidRDefault="00CD065A" w:rsidP="00CD065A">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(g) </w:t>
      </w:r>
      <w:proofErr w:type="gramStart"/>
      <w:r w:rsidRPr="005D5A1D">
        <w:rPr>
          <w:rFonts w:ascii="inherit" w:eastAsia="Times New Roman" w:hAnsi="inherit" w:cs="Times New Roman"/>
          <w:color w:val="000000"/>
          <w:sz w:val="24"/>
          <w:szCs w:val="24"/>
          <w:lang w:eastAsia="en-GB"/>
        </w:rPr>
        <w:t>template</w:t>
      </w:r>
      <w:proofErr w:type="gramEnd"/>
      <w:r w:rsidRPr="005D5A1D">
        <w:rPr>
          <w:rFonts w:ascii="inherit" w:eastAsia="Times New Roman" w:hAnsi="inherit" w:cs="Times New Roman"/>
          <w:color w:val="000000"/>
          <w:sz w:val="24"/>
          <w:szCs w:val="24"/>
          <w:lang w:eastAsia="en-GB"/>
        </w:rPr>
        <w:t xml:space="preserve"> S.04.0</w:t>
      </w:r>
      <w:r>
        <w:rPr>
          <w:rFonts w:ascii="inherit" w:eastAsia="Times New Roman" w:hAnsi="inherit" w:cs="Times New Roman"/>
          <w:color w:val="000000"/>
          <w:sz w:val="24"/>
          <w:szCs w:val="24"/>
          <w:lang w:eastAsia="en-GB"/>
        </w:rPr>
        <w:t>5</w:t>
      </w:r>
      <w:r w:rsidRPr="005D5A1D">
        <w:rPr>
          <w:rFonts w:ascii="inherit" w:eastAsia="Times New Roman" w:hAnsi="inherit" w:cs="Times New Roman"/>
          <w:color w:val="000000"/>
          <w:sz w:val="24"/>
          <w:szCs w:val="24"/>
          <w:lang w:eastAsia="en-GB"/>
        </w:rPr>
        <w:t>.01 of Annex I, specifying information on Activity by country – location of risk, following the instruc</w:t>
      </w:r>
      <w:r>
        <w:rPr>
          <w:rFonts w:ascii="inherit" w:eastAsia="Times New Roman" w:hAnsi="inherit" w:cs="Times New Roman"/>
          <w:color w:val="000000"/>
          <w:sz w:val="24"/>
          <w:szCs w:val="24"/>
          <w:lang w:eastAsia="en-GB"/>
        </w:rPr>
        <w:t>tions set out in section S.04.05</w:t>
      </w:r>
      <w:r w:rsidRPr="005D5A1D">
        <w:rPr>
          <w:rFonts w:ascii="inherit" w:eastAsia="Times New Roman" w:hAnsi="inherit" w:cs="Times New Roman"/>
          <w:color w:val="000000"/>
          <w:sz w:val="24"/>
          <w:szCs w:val="24"/>
          <w:lang w:eastAsia="en-GB"/>
        </w:rPr>
        <w:t xml:space="preserve"> of Annex II to this Regulation;</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CD065A" w:rsidRPr="000A3A8F" w14:paraId="3C2CD2DA" w14:textId="77777777" w:rsidTr="00414C36">
        <w:tc>
          <w:tcPr>
            <w:tcW w:w="0" w:type="auto"/>
            <w:gridSpan w:val="2"/>
            <w:shd w:val="clear" w:color="auto" w:fill="FFFFFF"/>
            <w:hideMark/>
          </w:tcPr>
          <w:p w14:paraId="47E520EC" w14:textId="35C06CFB" w:rsidR="00CD065A" w:rsidRPr="000A3A8F" w:rsidRDefault="00CD065A" w:rsidP="00414C36">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(h) </w:t>
            </w:r>
            <w:r w:rsidRPr="000A3A8F">
              <w:rPr>
                <w:rFonts w:ascii="inherit" w:eastAsia="Times New Roman" w:hAnsi="inherit" w:cs="Times New Roman"/>
                <w:color w:val="000000"/>
                <w:sz w:val="24"/>
                <w:szCs w:val="24"/>
                <w:lang w:eastAsia="en-GB"/>
              </w:rPr>
              <w:t>template S.05.01.01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w:t>
            </w:r>
            <w:r>
              <w:rPr>
                <w:rFonts w:ascii="inherit" w:eastAsia="Times New Roman" w:hAnsi="inherit" w:cs="Times New Roman"/>
                <w:color w:val="000000"/>
                <w:sz w:val="24"/>
                <w:szCs w:val="24"/>
                <w:lang w:eastAsia="en-GB"/>
              </w:rPr>
              <w:t xml:space="preserve"> of Annex II to this Regulation.</w:t>
            </w:r>
            <w:bookmarkStart w:id="0" w:name="_GoBack"/>
            <w:bookmarkEnd w:id="0"/>
          </w:p>
        </w:tc>
      </w:tr>
      <w:tr w:rsidR="000A3A8F" w:rsidRPr="000A3A8F" w14:paraId="7E566162" w14:textId="77777777" w:rsidTr="00853267">
        <w:tc>
          <w:tcPr>
            <w:tcW w:w="0" w:type="auto"/>
            <w:shd w:val="clear" w:color="auto" w:fill="FFFFFF"/>
          </w:tcPr>
          <w:p w14:paraId="39B093ED" w14:textId="233D2C51"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tcPr>
          <w:p w14:paraId="4627C250" w14:textId="4BAAB785"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52E2E323" w14:textId="4D83ECE3" w:rsidR="0053489F" w:rsidRPr="000A3A8F" w:rsidRDefault="0053489F" w:rsidP="0053489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 xml:space="preserve">Article </w:t>
      </w:r>
      <w:r w:rsidR="00CD065A">
        <w:rPr>
          <w:rFonts w:ascii="Times New Roman" w:eastAsia="Times New Roman" w:hAnsi="Times New Roman" w:cs="Times New Roman"/>
          <w:i/>
          <w:iCs/>
          <w:color w:val="000000"/>
          <w:sz w:val="24"/>
          <w:szCs w:val="24"/>
          <w:lang w:eastAsia="en-GB"/>
        </w:rPr>
        <w:t>10</w:t>
      </w:r>
      <w:r w:rsidR="00333CDC">
        <w:rPr>
          <w:rFonts w:ascii="Times New Roman" w:eastAsia="Times New Roman" w:hAnsi="Times New Roman" w:cs="Times New Roman"/>
          <w:i/>
          <w:iCs/>
          <w:color w:val="000000"/>
          <w:sz w:val="24"/>
          <w:szCs w:val="24"/>
          <w:lang w:eastAsia="en-GB"/>
        </w:rPr>
        <w:t>a</w:t>
      </w:r>
    </w:p>
    <w:p w14:paraId="65309D57" w14:textId="77777777" w:rsidR="00692601" w:rsidRPr="000A3A8F" w:rsidRDefault="00692601" w:rsidP="00692601">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853267">
        <w:rPr>
          <w:rFonts w:ascii="Times New Roman" w:eastAsia="Times New Roman" w:hAnsi="Times New Roman" w:cs="Times New Roman"/>
          <w:b/>
          <w:color w:val="000000"/>
          <w:sz w:val="24"/>
          <w:szCs w:val="24"/>
          <w:lang w:eastAsia="en-GB"/>
        </w:rPr>
        <w:t>Annual quantitative templates for captive insurance undertakings — Balance sheet and other general information</w:t>
      </w:r>
    </w:p>
    <w:p w14:paraId="4DD0C494" w14:textId="77777777" w:rsidR="00CD065A" w:rsidRDefault="00692601" w:rsidP="0069260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lastRenderedPageBreak/>
        <w:t>Captive i</w:t>
      </w:r>
      <w:r w:rsidRPr="000A3A8F">
        <w:rPr>
          <w:rFonts w:ascii="Times New Roman" w:eastAsia="Times New Roman" w:hAnsi="Times New Roman" w:cs="Times New Roman"/>
          <w:color w:val="000000"/>
          <w:sz w:val="24"/>
          <w:szCs w:val="24"/>
          <w:lang w:eastAsia="en-GB"/>
        </w:rPr>
        <w:t>nsurance undertakings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r w:rsidR="00CD065A" w:rsidRPr="00CD065A">
        <w:rPr>
          <w:rFonts w:ascii="inherit" w:eastAsia="Times New Roman" w:hAnsi="inherit" w:cs="Times New Roman"/>
          <w:color w:val="000000"/>
          <w:sz w:val="24"/>
          <w:szCs w:val="24"/>
          <w:lang w:eastAsia="en-GB"/>
        </w:rPr>
        <w:t xml:space="preserve"> </w:t>
      </w:r>
    </w:p>
    <w:p w14:paraId="1510F477" w14:textId="225B687A" w:rsidR="00692601" w:rsidRDefault="00CD065A" w:rsidP="0069260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(a) </w:t>
      </w:r>
      <w:r w:rsidRPr="000A3A8F">
        <w:rPr>
          <w:rFonts w:ascii="inherit" w:eastAsia="Times New Roman" w:hAnsi="inherit" w:cs="Times New Roman"/>
          <w:color w:val="000000"/>
          <w:sz w:val="24"/>
          <w:szCs w:val="24"/>
          <w:lang w:eastAsia="en-GB"/>
        </w:rPr>
        <w:t>template S.02.01.01 of Annex I, specifying balance sheet information using the valuation in accordance with Article 75 of Directive 2009/138/EC and the valuation following the undertaking's financial statements, following the instructions set out in section S.02.01 of Annex II to this Regulation;</w:t>
      </w:r>
    </w:p>
    <w:p w14:paraId="799615DD" w14:textId="0DABF09A" w:rsidR="00CD065A" w:rsidRDefault="00CD065A" w:rsidP="00CD065A">
      <w:pPr>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(b) </w:t>
      </w:r>
      <w:proofErr w:type="gramStart"/>
      <w:r>
        <w:rPr>
          <w:rFonts w:ascii="inherit" w:eastAsia="Times New Roman" w:hAnsi="inherit" w:cs="Times New Roman"/>
          <w:color w:val="000000"/>
          <w:sz w:val="24"/>
          <w:szCs w:val="24"/>
          <w:lang w:eastAsia="en-GB"/>
        </w:rPr>
        <w:t>where</w:t>
      </w:r>
      <w:proofErr w:type="gramEnd"/>
      <w:r>
        <w:rPr>
          <w:rFonts w:ascii="inherit" w:eastAsia="Times New Roman" w:hAnsi="inherit" w:cs="Times New Roman"/>
          <w:color w:val="000000"/>
          <w:sz w:val="24"/>
          <w:szCs w:val="24"/>
          <w:lang w:eastAsia="en-GB"/>
        </w:rPr>
        <w:t xml:space="preserve"> any of the following conditions apply, </w:t>
      </w:r>
      <w:r w:rsidRPr="000A3A8F">
        <w:rPr>
          <w:rFonts w:ascii="inherit" w:eastAsia="Times New Roman" w:hAnsi="inherit" w:cs="Times New Roman"/>
          <w:color w:val="000000"/>
          <w:sz w:val="24"/>
          <w:szCs w:val="24"/>
          <w:lang w:eastAsia="en-GB"/>
        </w:rPr>
        <w:t>template S.03.01.01 of Annex I, specifying general information on off-balance sheet items, following the instructions set out in section S.03.01 of Annex II</w:t>
      </w:r>
      <w:r>
        <w:rPr>
          <w:rFonts w:ascii="inherit" w:eastAsia="Times New Roman" w:hAnsi="inherit" w:cs="Times New Roman"/>
          <w:color w:val="000000"/>
          <w:sz w:val="24"/>
          <w:szCs w:val="24"/>
          <w:lang w:eastAsia="en-GB"/>
        </w:rPr>
        <w:t xml:space="preserve">: </w:t>
      </w:r>
    </w:p>
    <w:p w14:paraId="4C6CF15F" w14:textId="77777777" w:rsidR="00CD065A" w:rsidRPr="00E70C65" w:rsidRDefault="00CD065A" w:rsidP="00CD065A">
      <w:pPr>
        <w:spacing w:before="120" w:after="0" w:line="240" w:lineRule="auto"/>
        <w:ind w:left="296"/>
        <w:jc w:val="both"/>
        <w:rPr>
          <w:rFonts w:ascii="inherit" w:eastAsia="Times New Roman" w:hAnsi="inherit" w:cs="Times New Roman"/>
          <w:color w:val="000000"/>
          <w:sz w:val="24"/>
          <w:szCs w:val="24"/>
          <w:lang w:eastAsia="en-GB"/>
        </w:rPr>
      </w:pP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w:t>
      </w:r>
      <w:proofErr w:type="gramStart"/>
      <w:r w:rsidRPr="00E70C65">
        <w:rPr>
          <w:rFonts w:ascii="inherit" w:eastAsia="Times New Roman" w:hAnsi="inherit" w:cs="Times New Roman"/>
          <w:color w:val="000000"/>
          <w:sz w:val="24"/>
          <w:szCs w:val="24"/>
          <w:lang w:eastAsia="en-GB"/>
        </w:rPr>
        <w:t>the</w:t>
      </w:r>
      <w:proofErr w:type="gramEnd"/>
      <w:r w:rsidRPr="00E70C65">
        <w:rPr>
          <w:rFonts w:ascii="inherit" w:eastAsia="Times New Roman" w:hAnsi="inherit" w:cs="Times New Roman"/>
          <w:color w:val="000000"/>
          <w:sz w:val="24"/>
          <w:szCs w:val="24"/>
          <w:lang w:eastAsia="en-GB"/>
        </w:rPr>
        <w:t xml:space="preserve"> amount of any of the following </w:t>
      </w:r>
      <w:r>
        <w:rPr>
          <w:rFonts w:ascii="inherit" w:eastAsia="Times New Roman" w:hAnsi="inherit" w:cs="Times New Roman"/>
          <w:color w:val="000000"/>
          <w:sz w:val="24"/>
          <w:szCs w:val="24"/>
          <w:lang w:eastAsia="en-GB"/>
        </w:rPr>
        <w:t>values</w:t>
      </w:r>
      <w:r w:rsidRPr="00E70C65">
        <w:rPr>
          <w:rFonts w:ascii="inherit" w:eastAsia="Times New Roman" w:hAnsi="inherit" w:cs="Times New Roman"/>
          <w:color w:val="000000"/>
          <w:sz w:val="24"/>
          <w:szCs w:val="24"/>
          <w:lang w:eastAsia="en-GB"/>
        </w:rPr>
        <w:t xml:space="preserve"> is higher than 2% of Total Assets:</w:t>
      </w:r>
    </w:p>
    <w:p w14:paraId="0A74A2FB" w14:textId="77777777" w:rsidR="00CD065A" w:rsidRPr="00E63F50" w:rsidRDefault="00CD065A" w:rsidP="00CD065A">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Pr="00E63F50">
        <w:rPr>
          <w:rFonts w:ascii="inherit" w:eastAsia="Times New Roman" w:hAnsi="inherit" w:cs="Times New Roman"/>
          <w:color w:val="000000"/>
          <w:sz w:val="24"/>
          <w:szCs w:val="24"/>
          <w:lang w:eastAsia="en-GB"/>
        </w:rPr>
        <w:t>alue of guarantee/collateral/contingent liabilities — Guarantees provided by the undertaking, including letters of credit (C0020/R0010) plus Value of guarantee/collateral/contingent liabilities — Total collateral pledged (C0020/R0300) plus  Maximum value — Total Contingent liabilities (C0010/R0400); or</w:t>
      </w:r>
    </w:p>
    <w:p w14:paraId="379D2604" w14:textId="77777777" w:rsidR="00CD065A" w:rsidRPr="00E63F50" w:rsidRDefault="00CD065A" w:rsidP="00CD065A">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Pr="00E63F50">
        <w:rPr>
          <w:rFonts w:ascii="inherit" w:eastAsia="Times New Roman" w:hAnsi="inherit" w:cs="Times New Roman"/>
          <w:color w:val="000000"/>
          <w:sz w:val="24"/>
          <w:szCs w:val="24"/>
          <w:lang w:eastAsia="en-GB"/>
        </w:rPr>
        <w:t>alue of guarantee/collateral/contingent liabilities — Guarantees received by the undertaking, including letters of credit (C0020/R0030) plus  Value of guarantee/collateral/contingent liabilities — Total collateral held (C0020/R0200);</w:t>
      </w:r>
    </w:p>
    <w:p w14:paraId="183A0B6E" w14:textId="74C32B57" w:rsidR="00CD065A" w:rsidRPr="00E70C65" w:rsidRDefault="00CD065A" w:rsidP="00CD065A">
      <w:pPr>
        <w:spacing w:before="120" w:after="0" w:line="240" w:lineRule="auto"/>
        <w:ind w:left="296"/>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ii) </w:t>
      </w:r>
      <w:proofErr w:type="gramStart"/>
      <w:r w:rsidRPr="00E70C65">
        <w:rPr>
          <w:rFonts w:ascii="inherit" w:eastAsia="Times New Roman" w:hAnsi="inherit" w:cs="Times New Roman"/>
          <w:color w:val="000000"/>
          <w:sz w:val="24"/>
          <w:szCs w:val="24"/>
          <w:lang w:eastAsia="en-GB"/>
        </w:rPr>
        <w:t>the</w:t>
      </w:r>
      <w:proofErr w:type="gramEnd"/>
      <w:r w:rsidRPr="00E70C65">
        <w:rPr>
          <w:rFonts w:ascii="inherit" w:eastAsia="Times New Roman" w:hAnsi="inherit" w:cs="Times New Roman"/>
          <w:color w:val="000000"/>
          <w:sz w:val="24"/>
          <w:szCs w:val="24"/>
          <w:lang w:eastAsia="en-GB"/>
        </w:rPr>
        <w:t xml:space="preserve"> undertaking has provided or received </w:t>
      </w:r>
      <w:r>
        <w:rPr>
          <w:rFonts w:ascii="inherit" w:eastAsia="Times New Roman" w:hAnsi="inherit" w:cs="Times New Roman"/>
          <w:color w:val="000000"/>
          <w:sz w:val="24"/>
          <w:szCs w:val="24"/>
          <w:lang w:eastAsia="en-GB"/>
        </w:rPr>
        <w:t xml:space="preserve">any </w:t>
      </w:r>
      <w:r w:rsidRPr="00E70C65">
        <w:rPr>
          <w:rFonts w:ascii="inherit" w:eastAsia="Times New Roman" w:hAnsi="inherit" w:cs="Times New Roman"/>
          <w:color w:val="000000"/>
          <w:sz w:val="24"/>
          <w:szCs w:val="24"/>
          <w:lang w:eastAsia="en-GB"/>
        </w:rPr>
        <w:t>unlimited guarantee</w:t>
      </w:r>
      <w:r w:rsidRPr="000A3A8F">
        <w:rPr>
          <w:rFonts w:ascii="inherit" w:eastAsia="Times New Roman" w:hAnsi="inherit" w:cs="Times New Roman"/>
          <w:color w:val="000000"/>
          <w:sz w:val="24"/>
          <w:szCs w:val="24"/>
          <w:lang w:eastAsia="en-GB"/>
        </w:rPr>
        <w:t>;</w:t>
      </w:r>
    </w:p>
    <w:p w14:paraId="07352516" w14:textId="1CDC6C6D" w:rsidR="00CD065A" w:rsidRDefault="00CD065A" w:rsidP="00CD065A">
      <w:pPr>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(c)</w:t>
      </w:r>
      <w:r w:rsidRPr="00CD065A">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S.04.02.01 of Annex I, specifying information on class 10 in Part A of Annex I of Directive 2009/138/EC, excluding carrier's liability, following the instructions set out in section S.04.02 of Annex II to this Regulation;</w:t>
      </w:r>
    </w:p>
    <w:p w14:paraId="27C3E597" w14:textId="67CAA8A0" w:rsidR="00CD065A" w:rsidRDefault="00CD065A" w:rsidP="0069260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(d) </w:t>
      </w:r>
      <w:r w:rsidRPr="005D5A1D">
        <w:rPr>
          <w:rFonts w:ascii="inherit" w:eastAsia="Times New Roman" w:hAnsi="inherit" w:cs="Times New Roman"/>
          <w:color w:val="000000"/>
          <w:sz w:val="24"/>
          <w:szCs w:val="24"/>
          <w:lang w:eastAsia="en-GB"/>
        </w:rPr>
        <w:t>template S.04.0</w:t>
      </w:r>
      <w:r>
        <w:rPr>
          <w:rFonts w:ascii="inherit" w:eastAsia="Times New Roman" w:hAnsi="inherit" w:cs="Times New Roman"/>
          <w:color w:val="000000"/>
          <w:sz w:val="24"/>
          <w:szCs w:val="24"/>
          <w:lang w:eastAsia="en-GB"/>
        </w:rPr>
        <w:t>3</w:t>
      </w:r>
      <w:r w:rsidRPr="005D5A1D">
        <w:rPr>
          <w:rFonts w:ascii="inherit" w:eastAsia="Times New Roman" w:hAnsi="inherit" w:cs="Times New Roman"/>
          <w:color w:val="000000"/>
          <w:sz w:val="24"/>
          <w:szCs w:val="24"/>
          <w:lang w:eastAsia="en-GB"/>
        </w:rPr>
        <w:t>.01 of Annex I, specifying information on Basic Information – List of underwriting entities, following the instruc</w:t>
      </w:r>
      <w:r>
        <w:rPr>
          <w:rFonts w:ascii="inherit" w:eastAsia="Times New Roman" w:hAnsi="inherit" w:cs="Times New Roman"/>
          <w:color w:val="000000"/>
          <w:sz w:val="24"/>
          <w:szCs w:val="24"/>
          <w:lang w:eastAsia="en-GB"/>
        </w:rPr>
        <w:t>tions set out in section S.04.03</w:t>
      </w:r>
      <w:r w:rsidRPr="005D5A1D">
        <w:rPr>
          <w:rFonts w:ascii="inherit" w:eastAsia="Times New Roman" w:hAnsi="inherit" w:cs="Times New Roman"/>
          <w:color w:val="000000"/>
          <w:sz w:val="24"/>
          <w:szCs w:val="24"/>
          <w:lang w:eastAsia="en-GB"/>
        </w:rPr>
        <w:t xml:space="preserve"> of Annex II to this Regulation;</w:t>
      </w:r>
    </w:p>
    <w:p w14:paraId="64B3FF54" w14:textId="081C832E" w:rsidR="00CD065A" w:rsidRDefault="00CD065A" w:rsidP="0069260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CD065A">
        <w:rPr>
          <w:rFonts w:ascii="inherit" w:eastAsia="Times New Roman" w:hAnsi="inherit" w:cs="Times New Roman"/>
          <w:color w:val="000000"/>
          <w:sz w:val="24"/>
          <w:szCs w:val="24"/>
          <w:lang w:eastAsia="en-GB"/>
        </w:rPr>
        <w:t xml:space="preserve"> </w:t>
      </w:r>
      <w:r w:rsidRPr="005D5A1D">
        <w:rPr>
          <w:rFonts w:ascii="inherit" w:eastAsia="Times New Roman" w:hAnsi="inherit" w:cs="Times New Roman"/>
          <w:color w:val="000000"/>
          <w:sz w:val="24"/>
          <w:szCs w:val="24"/>
          <w:lang w:eastAsia="en-GB"/>
        </w:rPr>
        <w:t>template S.04.0</w:t>
      </w:r>
      <w:r>
        <w:rPr>
          <w:rFonts w:ascii="inherit" w:eastAsia="Times New Roman" w:hAnsi="inherit" w:cs="Times New Roman"/>
          <w:color w:val="000000"/>
          <w:sz w:val="24"/>
          <w:szCs w:val="24"/>
          <w:lang w:eastAsia="en-GB"/>
        </w:rPr>
        <w:t>4</w:t>
      </w:r>
      <w:r w:rsidRPr="005D5A1D">
        <w:rPr>
          <w:rFonts w:ascii="inherit" w:eastAsia="Times New Roman" w:hAnsi="inherit" w:cs="Times New Roman"/>
          <w:color w:val="000000"/>
          <w:sz w:val="24"/>
          <w:szCs w:val="24"/>
          <w:lang w:eastAsia="en-GB"/>
        </w:rPr>
        <w:t>.01 of Annex I, specifying information on Activity by country – location of underwriting, following the instruc</w:t>
      </w:r>
      <w:r>
        <w:rPr>
          <w:rFonts w:ascii="inherit" w:eastAsia="Times New Roman" w:hAnsi="inherit" w:cs="Times New Roman"/>
          <w:color w:val="000000"/>
          <w:sz w:val="24"/>
          <w:szCs w:val="24"/>
          <w:lang w:eastAsia="en-GB"/>
        </w:rPr>
        <w:t>tions set out in section S.04.04</w:t>
      </w:r>
      <w:r w:rsidRPr="005D5A1D">
        <w:rPr>
          <w:rFonts w:ascii="inherit" w:eastAsia="Times New Roman" w:hAnsi="inherit" w:cs="Times New Roman"/>
          <w:color w:val="000000"/>
          <w:sz w:val="24"/>
          <w:szCs w:val="24"/>
          <w:lang w:eastAsia="en-GB"/>
        </w:rPr>
        <w:t xml:space="preserve"> of Annex II to this Regulation;</w:t>
      </w:r>
    </w:p>
    <w:p w14:paraId="48E13016" w14:textId="6F1BF97E" w:rsidR="00CD065A" w:rsidRDefault="00CD065A" w:rsidP="0069260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(f) </w:t>
      </w:r>
      <w:proofErr w:type="gramStart"/>
      <w:r w:rsidRPr="005D5A1D">
        <w:rPr>
          <w:rFonts w:ascii="inherit" w:eastAsia="Times New Roman" w:hAnsi="inherit" w:cs="Times New Roman"/>
          <w:color w:val="000000"/>
          <w:sz w:val="24"/>
          <w:szCs w:val="24"/>
          <w:lang w:eastAsia="en-GB"/>
        </w:rPr>
        <w:t>template</w:t>
      </w:r>
      <w:proofErr w:type="gramEnd"/>
      <w:r w:rsidRPr="005D5A1D">
        <w:rPr>
          <w:rFonts w:ascii="inherit" w:eastAsia="Times New Roman" w:hAnsi="inherit" w:cs="Times New Roman"/>
          <w:color w:val="000000"/>
          <w:sz w:val="24"/>
          <w:szCs w:val="24"/>
          <w:lang w:eastAsia="en-GB"/>
        </w:rPr>
        <w:t xml:space="preserve"> S.04.0</w:t>
      </w:r>
      <w:r>
        <w:rPr>
          <w:rFonts w:ascii="inherit" w:eastAsia="Times New Roman" w:hAnsi="inherit" w:cs="Times New Roman"/>
          <w:color w:val="000000"/>
          <w:sz w:val="24"/>
          <w:szCs w:val="24"/>
          <w:lang w:eastAsia="en-GB"/>
        </w:rPr>
        <w:t>5</w:t>
      </w:r>
      <w:r w:rsidRPr="005D5A1D">
        <w:rPr>
          <w:rFonts w:ascii="inherit" w:eastAsia="Times New Roman" w:hAnsi="inherit" w:cs="Times New Roman"/>
          <w:color w:val="000000"/>
          <w:sz w:val="24"/>
          <w:szCs w:val="24"/>
          <w:lang w:eastAsia="en-GB"/>
        </w:rPr>
        <w:t>.01 of Annex I, specifying information on Activity by country – location of risk, following the instruc</w:t>
      </w:r>
      <w:r>
        <w:rPr>
          <w:rFonts w:ascii="inherit" w:eastAsia="Times New Roman" w:hAnsi="inherit" w:cs="Times New Roman"/>
          <w:color w:val="000000"/>
          <w:sz w:val="24"/>
          <w:szCs w:val="24"/>
          <w:lang w:eastAsia="en-GB"/>
        </w:rPr>
        <w:t>tions set out in section S.04.05</w:t>
      </w:r>
      <w:r w:rsidRPr="005D5A1D">
        <w:rPr>
          <w:rFonts w:ascii="inherit" w:eastAsia="Times New Roman" w:hAnsi="inherit" w:cs="Times New Roman"/>
          <w:color w:val="000000"/>
          <w:sz w:val="24"/>
          <w:szCs w:val="24"/>
          <w:lang w:eastAsia="en-GB"/>
        </w:rPr>
        <w:t xml:space="preserve"> of Annex II to this Regulation;</w:t>
      </w:r>
    </w:p>
    <w:p w14:paraId="3997DB00" w14:textId="523C1B88" w:rsidR="00CD065A" w:rsidRDefault="00CD065A" w:rsidP="00692601">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(g) </w:t>
      </w:r>
      <w:r w:rsidRPr="000A3A8F">
        <w:rPr>
          <w:rFonts w:ascii="inherit" w:eastAsia="Times New Roman" w:hAnsi="inherit" w:cs="Times New Roman"/>
          <w:color w:val="000000"/>
          <w:sz w:val="24"/>
          <w:szCs w:val="24"/>
          <w:lang w:eastAsia="en-GB"/>
        </w:rPr>
        <w:t>template S.05.01.01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r>
        <w:rPr>
          <w:rFonts w:ascii="inherit" w:eastAsia="Times New Roman" w:hAnsi="inherit" w:cs="Times New Roman"/>
          <w:color w:val="000000"/>
          <w:sz w:val="24"/>
          <w:szCs w:val="24"/>
          <w:lang w:eastAsia="en-GB"/>
        </w:rPr>
        <w:t>.</w:t>
      </w:r>
    </w:p>
    <w:p w14:paraId="2C90D081" w14:textId="631E72F4" w:rsidR="00692601" w:rsidRPr="000A3A8F" w:rsidRDefault="00692601" w:rsidP="00DF5342">
      <w:pPr>
        <w:shd w:val="clear" w:color="auto" w:fill="FFFFFF"/>
        <w:spacing w:before="120" w:after="0" w:line="240" w:lineRule="auto"/>
        <w:jc w:val="center"/>
        <w:rPr>
          <w:rFonts w:ascii="Times New Roman" w:eastAsia="Times New Roman" w:hAnsi="Times New Roman" w:cs="Times New Roman"/>
          <w:vanish/>
          <w:sz w:val="24"/>
          <w:szCs w:val="24"/>
          <w:lang w:eastAsia="en-GB"/>
        </w:rPr>
      </w:pPr>
    </w:p>
    <w:p w14:paraId="4A9BAFCB" w14:textId="77777777" w:rsidR="00692601" w:rsidRPr="000A3A8F" w:rsidRDefault="00692601" w:rsidP="00DF5342">
      <w:pPr>
        <w:spacing w:after="0" w:line="240" w:lineRule="auto"/>
        <w:jc w:val="center"/>
        <w:rPr>
          <w:rFonts w:ascii="Times New Roman" w:eastAsia="Times New Roman" w:hAnsi="Times New Roman" w:cs="Times New Roman"/>
          <w:vanish/>
          <w:sz w:val="24"/>
          <w:szCs w:val="24"/>
          <w:lang w:eastAsia="en-GB"/>
        </w:rPr>
      </w:pPr>
    </w:p>
    <w:p w14:paraId="51B3CACC" w14:textId="77777777" w:rsidR="00692601" w:rsidRPr="000A3A8F" w:rsidRDefault="00692601" w:rsidP="00DF5342">
      <w:pPr>
        <w:spacing w:after="0" w:line="240" w:lineRule="auto"/>
        <w:jc w:val="center"/>
        <w:rPr>
          <w:rFonts w:ascii="Times New Roman" w:eastAsia="Times New Roman" w:hAnsi="Times New Roman" w:cs="Times New Roman"/>
          <w:vanish/>
          <w:sz w:val="24"/>
          <w:szCs w:val="24"/>
          <w:lang w:eastAsia="en-GB"/>
        </w:rPr>
      </w:pPr>
    </w:p>
    <w:p w14:paraId="1F6B5674" w14:textId="3A8D2B5F" w:rsidR="0053489F" w:rsidRPr="000A3A8F" w:rsidRDefault="0053489F" w:rsidP="00DF5342">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 xml:space="preserve">Article </w:t>
      </w:r>
      <w:r w:rsidR="00DF5342">
        <w:rPr>
          <w:rFonts w:ascii="Times New Roman" w:eastAsia="Times New Roman" w:hAnsi="Times New Roman" w:cs="Times New Roman"/>
          <w:i/>
          <w:iCs/>
          <w:color w:val="000000"/>
          <w:sz w:val="24"/>
          <w:szCs w:val="24"/>
          <w:lang w:eastAsia="en-GB"/>
        </w:rPr>
        <w:t>10</w:t>
      </w:r>
      <w:r w:rsidR="00333CDC">
        <w:rPr>
          <w:rFonts w:ascii="Times New Roman" w:eastAsia="Times New Roman" w:hAnsi="Times New Roman" w:cs="Times New Roman"/>
          <w:i/>
          <w:iCs/>
          <w:color w:val="000000"/>
          <w:sz w:val="24"/>
          <w:szCs w:val="24"/>
          <w:lang w:eastAsia="en-GB"/>
        </w:rPr>
        <w:t>b</w:t>
      </w:r>
    </w:p>
    <w:p w14:paraId="73E06346" w14:textId="77777777" w:rsidR="0053489F" w:rsidRPr="000A3A8F" w:rsidRDefault="0053489F" w:rsidP="0053489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853267">
        <w:rPr>
          <w:rFonts w:ascii="Times New Roman" w:eastAsia="Times New Roman" w:hAnsi="Times New Roman" w:cs="Times New Roman"/>
          <w:b/>
          <w:color w:val="000000"/>
          <w:sz w:val="24"/>
          <w:szCs w:val="24"/>
          <w:lang w:eastAsia="en-GB"/>
        </w:rPr>
        <w:t>Annual quantitative templates for captive reinsurance undertakings — Balance sheet and other general information</w:t>
      </w:r>
    </w:p>
    <w:p w14:paraId="024D6B0C" w14:textId="0092C6DC" w:rsidR="0053489F" w:rsidRDefault="0053489F" w:rsidP="0053489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Captive </w:t>
      </w:r>
      <w:r w:rsidRPr="000A3A8F">
        <w:rPr>
          <w:rFonts w:ascii="Times New Roman" w:eastAsia="Times New Roman" w:hAnsi="Times New Roman" w:cs="Times New Roman"/>
          <w:color w:val="000000"/>
          <w:sz w:val="24"/>
          <w:szCs w:val="24"/>
          <w:lang w:eastAsia="en-GB"/>
        </w:rPr>
        <w:t>reinsurance undertakings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p w14:paraId="19E3A247" w14:textId="67663802" w:rsidR="00DF5342" w:rsidRDefault="00DF5342" w:rsidP="0053489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lastRenderedPageBreak/>
        <w:t>(a)</w:t>
      </w:r>
      <w:r w:rsidRPr="00DF5342">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template S.02.01.01 of Annex I, specifying balance sheet information using the valuation in accordance with Article 75 of Directive 2009/138/EC and the valuation following the undertaking's financial statements, following the instructions set out in section S.02.01 of Annex II to this Regulation;</w:t>
      </w:r>
    </w:p>
    <w:p w14:paraId="577FA5AD" w14:textId="19E3CFD9" w:rsidR="00DF5342" w:rsidRDefault="00DF5342" w:rsidP="0053489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(b)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S.04.02.01 of Annex I, specifying information on class 10 in Part A of Annex I of Directive 2009/138/EC, excluding carrier's liability, following the instructions set out in section S.04.02 of Annex II to this Regulation</w:t>
      </w:r>
      <w:r>
        <w:rPr>
          <w:rFonts w:ascii="inherit" w:eastAsia="Times New Roman" w:hAnsi="inherit" w:cs="Times New Roman"/>
          <w:color w:val="000000"/>
          <w:sz w:val="24"/>
          <w:szCs w:val="24"/>
          <w:lang w:eastAsia="en-GB"/>
        </w:rPr>
        <w:t>;</w:t>
      </w:r>
    </w:p>
    <w:p w14:paraId="53A984DC" w14:textId="4E8E16C3" w:rsidR="00DF5342" w:rsidRDefault="00DF5342" w:rsidP="0053489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(c) </w:t>
      </w:r>
      <w:r w:rsidRPr="005D5A1D">
        <w:rPr>
          <w:rFonts w:ascii="inherit" w:eastAsia="Times New Roman" w:hAnsi="inherit" w:cs="Times New Roman"/>
          <w:color w:val="000000"/>
          <w:sz w:val="24"/>
          <w:szCs w:val="24"/>
          <w:lang w:eastAsia="en-GB"/>
        </w:rPr>
        <w:t>template S.04.0</w:t>
      </w:r>
      <w:r>
        <w:rPr>
          <w:rFonts w:ascii="inherit" w:eastAsia="Times New Roman" w:hAnsi="inherit" w:cs="Times New Roman"/>
          <w:color w:val="000000"/>
          <w:sz w:val="24"/>
          <w:szCs w:val="24"/>
          <w:lang w:eastAsia="en-GB"/>
        </w:rPr>
        <w:t>3</w:t>
      </w:r>
      <w:r w:rsidRPr="005D5A1D">
        <w:rPr>
          <w:rFonts w:ascii="inherit" w:eastAsia="Times New Roman" w:hAnsi="inherit" w:cs="Times New Roman"/>
          <w:color w:val="000000"/>
          <w:sz w:val="24"/>
          <w:szCs w:val="24"/>
          <w:lang w:eastAsia="en-GB"/>
        </w:rPr>
        <w:t>.01 of Annex I, specifying information on Basic Information – List of underwriting entities, following the instruc</w:t>
      </w:r>
      <w:r>
        <w:rPr>
          <w:rFonts w:ascii="inherit" w:eastAsia="Times New Roman" w:hAnsi="inherit" w:cs="Times New Roman"/>
          <w:color w:val="000000"/>
          <w:sz w:val="24"/>
          <w:szCs w:val="24"/>
          <w:lang w:eastAsia="en-GB"/>
        </w:rPr>
        <w:t>tions set out in section S.04.03</w:t>
      </w:r>
      <w:r w:rsidRPr="005D5A1D">
        <w:rPr>
          <w:rFonts w:ascii="inherit" w:eastAsia="Times New Roman" w:hAnsi="inherit" w:cs="Times New Roman"/>
          <w:color w:val="000000"/>
          <w:sz w:val="24"/>
          <w:szCs w:val="24"/>
          <w:lang w:eastAsia="en-GB"/>
        </w:rPr>
        <w:t xml:space="preserve"> of Annex II to this Regulation</w:t>
      </w:r>
      <w:r>
        <w:rPr>
          <w:rFonts w:ascii="inherit" w:eastAsia="Times New Roman" w:hAnsi="inherit" w:cs="Times New Roman"/>
          <w:color w:val="000000"/>
          <w:sz w:val="24"/>
          <w:szCs w:val="24"/>
          <w:lang w:eastAsia="en-GB"/>
        </w:rPr>
        <w:t>;</w:t>
      </w:r>
    </w:p>
    <w:p w14:paraId="3C0C0CEF" w14:textId="3C2C2B26" w:rsidR="00DF5342" w:rsidRDefault="00DF5342" w:rsidP="0053489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(d) </w:t>
      </w:r>
      <w:r w:rsidRPr="005D5A1D">
        <w:rPr>
          <w:rFonts w:ascii="inherit" w:eastAsia="Times New Roman" w:hAnsi="inherit" w:cs="Times New Roman"/>
          <w:color w:val="000000"/>
          <w:sz w:val="24"/>
          <w:szCs w:val="24"/>
          <w:lang w:eastAsia="en-GB"/>
        </w:rPr>
        <w:t>template S.04.0</w:t>
      </w:r>
      <w:r>
        <w:rPr>
          <w:rFonts w:ascii="inherit" w:eastAsia="Times New Roman" w:hAnsi="inherit" w:cs="Times New Roman"/>
          <w:color w:val="000000"/>
          <w:sz w:val="24"/>
          <w:szCs w:val="24"/>
          <w:lang w:eastAsia="en-GB"/>
        </w:rPr>
        <w:t>4</w:t>
      </w:r>
      <w:r w:rsidRPr="005D5A1D">
        <w:rPr>
          <w:rFonts w:ascii="inherit" w:eastAsia="Times New Roman" w:hAnsi="inherit" w:cs="Times New Roman"/>
          <w:color w:val="000000"/>
          <w:sz w:val="24"/>
          <w:szCs w:val="24"/>
          <w:lang w:eastAsia="en-GB"/>
        </w:rPr>
        <w:t>.01 of Annex I, specifying information on Activity by country – location of underwriting, following the instruc</w:t>
      </w:r>
      <w:r>
        <w:rPr>
          <w:rFonts w:ascii="inherit" w:eastAsia="Times New Roman" w:hAnsi="inherit" w:cs="Times New Roman"/>
          <w:color w:val="000000"/>
          <w:sz w:val="24"/>
          <w:szCs w:val="24"/>
          <w:lang w:eastAsia="en-GB"/>
        </w:rPr>
        <w:t>tions set out in section S.04.04</w:t>
      </w:r>
      <w:r w:rsidRPr="005D5A1D">
        <w:rPr>
          <w:rFonts w:ascii="inherit" w:eastAsia="Times New Roman" w:hAnsi="inherit" w:cs="Times New Roman"/>
          <w:color w:val="000000"/>
          <w:sz w:val="24"/>
          <w:szCs w:val="24"/>
          <w:lang w:eastAsia="en-GB"/>
        </w:rPr>
        <w:t xml:space="preserve"> of Annex II to this Regulation</w:t>
      </w:r>
      <w:r>
        <w:rPr>
          <w:rFonts w:ascii="inherit" w:eastAsia="Times New Roman" w:hAnsi="inherit" w:cs="Times New Roman"/>
          <w:color w:val="000000"/>
          <w:sz w:val="24"/>
          <w:szCs w:val="24"/>
          <w:lang w:eastAsia="en-GB"/>
        </w:rPr>
        <w:t>;</w:t>
      </w:r>
    </w:p>
    <w:p w14:paraId="05802973" w14:textId="68888AE6" w:rsidR="00DF5342" w:rsidRDefault="00DF5342" w:rsidP="0053489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(e) </w:t>
      </w:r>
      <w:proofErr w:type="gramStart"/>
      <w:r w:rsidRPr="005D5A1D">
        <w:rPr>
          <w:rFonts w:ascii="inherit" w:eastAsia="Times New Roman" w:hAnsi="inherit" w:cs="Times New Roman"/>
          <w:color w:val="000000"/>
          <w:sz w:val="24"/>
          <w:szCs w:val="24"/>
          <w:lang w:eastAsia="en-GB"/>
        </w:rPr>
        <w:t>template</w:t>
      </w:r>
      <w:proofErr w:type="gramEnd"/>
      <w:r w:rsidRPr="005D5A1D">
        <w:rPr>
          <w:rFonts w:ascii="inherit" w:eastAsia="Times New Roman" w:hAnsi="inherit" w:cs="Times New Roman"/>
          <w:color w:val="000000"/>
          <w:sz w:val="24"/>
          <w:szCs w:val="24"/>
          <w:lang w:eastAsia="en-GB"/>
        </w:rPr>
        <w:t xml:space="preserve"> S.04.0</w:t>
      </w:r>
      <w:r>
        <w:rPr>
          <w:rFonts w:ascii="inherit" w:eastAsia="Times New Roman" w:hAnsi="inherit" w:cs="Times New Roman"/>
          <w:color w:val="000000"/>
          <w:sz w:val="24"/>
          <w:szCs w:val="24"/>
          <w:lang w:eastAsia="en-GB"/>
        </w:rPr>
        <w:t>5</w:t>
      </w:r>
      <w:r w:rsidRPr="005D5A1D">
        <w:rPr>
          <w:rFonts w:ascii="inherit" w:eastAsia="Times New Roman" w:hAnsi="inherit" w:cs="Times New Roman"/>
          <w:color w:val="000000"/>
          <w:sz w:val="24"/>
          <w:szCs w:val="24"/>
          <w:lang w:eastAsia="en-GB"/>
        </w:rPr>
        <w:t>.01 of Annex I, specifying information on Activity by country – location of risk, following the instruc</w:t>
      </w:r>
      <w:r>
        <w:rPr>
          <w:rFonts w:ascii="inherit" w:eastAsia="Times New Roman" w:hAnsi="inherit" w:cs="Times New Roman"/>
          <w:color w:val="000000"/>
          <w:sz w:val="24"/>
          <w:szCs w:val="24"/>
          <w:lang w:eastAsia="en-GB"/>
        </w:rPr>
        <w:t>tions set out in section S.04.05</w:t>
      </w:r>
      <w:r w:rsidRPr="005D5A1D">
        <w:rPr>
          <w:rFonts w:ascii="inherit" w:eastAsia="Times New Roman" w:hAnsi="inherit" w:cs="Times New Roman"/>
          <w:color w:val="000000"/>
          <w:sz w:val="24"/>
          <w:szCs w:val="24"/>
          <w:lang w:eastAsia="en-GB"/>
        </w:rPr>
        <w:t xml:space="preserve"> of Annex II to this Regulation</w:t>
      </w:r>
      <w:r>
        <w:rPr>
          <w:rFonts w:ascii="inherit" w:eastAsia="Times New Roman" w:hAnsi="inherit" w:cs="Times New Roman"/>
          <w:color w:val="000000"/>
          <w:sz w:val="24"/>
          <w:szCs w:val="24"/>
          <w:lang w:eastAsia="en-GB"/>
        </w:rPr>
        <w:t>;</w:t>
      </w:r>
    </w:p>
    <w:p w14:paraId="594596C2" w14:textId="1185BFD2" w:rsidR="00DF5342" w:rsidRPr="000A3A8F" w:rsidRDefault="00DF5342" w:rsidP="0053489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inherit" w:eastAsia="Times New Roman" w:hAnsi="inherit" w:cs="Times New Roman"/>
          <w:color w:val="000000"/>
          <w:sz w:val="24"/>
          <w:szCs w:val="24"/>
          <w:lang w:eastAsia="en-GB"/>
        </w:rPr>
        <w:t xml:space="preserve">(f) </w:t>
      </w:r>
      <w:r w:rsidRPr="000A3A8F">
        <w:rPr>
          <w:rFonts w:ascii="inherit" w:eastAsia="Times New Roman" w:hAnsi="inherit" w:cs="Times New Roman"/>
          <w:color w:val="000000"/>
          <w:sz w:val="24"/>
          <w:szCs w:val="24"/>
          <w:lang w:eastAsia="en-GB"/>
        </w:rPr>
        <w:t>template S.05.01.01 of Annex I, specifying information on premiums, claims and expenses applying the valuation and recognition principles used in the undertaking's financial statements for each line of business as defined in Annex I to Delegated Regulation (EU) 2015/35, following the instructions set out in section S.05.01 of Annex II to this Regulation</w:t>
      </w:r>
      <w:r>
        <w:rPr>
          <w:rFonts w:ascii="inherit" w:eastAsia="Times New Roman" w:hAnsi="inherit" w:cs="Times New Roman"/>
          <w:color w:val="000000"/>
          <w:sz w:val="24"/>
          <w:szCs w:val="24"/>
          <w:lang w:eastAsia="en-GB"/>
        </w:rPr>
        <w:t>.</w:t>
      </w:r>
    </w:p>
    <w:p w14:paraId="28DA98DA" w14:textId="77777777" w:rsidR="00692601" w:rsidRDefault="00692601" w:rsidP="00692601">
      <w:pPr>
        <w:spacing w:after="0" w:line="240" w:lineRule="auto"/>
        <w:rPr>
          <w:rFonts w:ascii="Times New Roman" w:eastAsia="Times New Roman" w:hAnsi="Times New Roman" w:cs="Times New Roman"/>
          <w:sz w:val="24"/>
          <w:szCs w:val="24"/>
          <w:lang w:eastAsia="en-GB"/>
        </w:rPr>
      </w:pPr>
    </w:p>
    <w:p w14:paraId="6526AE46" w14:textId="2A566BD3"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w:t>
      </w:r>
      <w:r w:rsidR="00DF5342">
        <w:rPr>
          <w:rFonts w:ascii="Times New Roman" w:eastAsia="Times New Roman" w:hAnsi="Times New Roman" w:cs="Times New Roman"/>
          <w:i/>
          <w:iCs/>
          <w:color w:val="000000"/>
          <w:sz w:val="24"/>
          <w:szCs w:val="24"/>
          <w:lang w:eastAsia="en-GB"/>
        </w:rPr>
        <w:t>1</w:t>
      </w:r>
    </w:p>
    <w:p w14:paraId="17F88D6C" w14:textId="138D47F2"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1E5A99">
        <w:rPr>
          <w:rFonts w:ascii="Times New Roman" w:eastAsia="Times New Roman" w:hAnsi="Times New Roman" w:cs="Times New Roman"/>
          <w:b/>
          <w:bCs/>
          <w:color w:val="000000"/>
          <w:sz w:val="24"/>
          <w:szCs w:val="24"/>
          <w:lang w:eastAsia="en-GB"/>
        </w:rPr>
        <w:t xml:space="preserve"> and captive insurance undertakings</w:t>
      </w:r>
      <w:r w:rsidR="001E5A99"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Investments information</w:t>
      </w:r>
    </w:p>
    <w:p w14:paraId="3556217B" w14:textId="2EE0956A" w:rsid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E2BEC">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unless exempted under Article 35(7) of Directive 2009/138/EC in relation to a specific template,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p w14:paraId="78D0BD33" w14:textId="1BB5E2F0" w:rsidR="00DF5342" w:rsidRDefault="00DF5342"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 </w:t>
      </w:r>
      <w:r w:rsidRPr="000A3A8F">
        <w:rPr>
          <w:rFonts w:ascii="inherit" w:eastAsia="Times New Roman" w:hAnsi="inherit" w:cs="Times New Roman"/>
          <w:color w:val="000000"/>
          <w:sz w:val="24"/>
          <w:szCs w:val="24"/>
          <w:lang w:eastAsia="en-GB"/>
        </w:rPr>
        <w:t>where the undertaking is exempted from reporting the template S.06.02.01 in relation to the last quarter in accordance with Article 35(6) of Directive 2009/138/EC, template S.06.02.01 of Annex I to this Regulation, providing an item-by-item list of assets, following the instructions set out in section S.06.02 of Annex II to this Regulation and using the CIC code as set out in Annex V and defined in Annex VI to this Regulation</w:t>
      </w:r>
      <w:r>
        <w:rPr>
          <w:rFonts w:ascii="inherit" w:eastAsia="Times New Roman" w:hAnsi="inherit" w:cs="Times New Roman"/>
          <w:color w:val="000000"/>
          <w:sz w:val="24"/>
          <w:szCs w:val="24"/>
          <w:lang w:eastAsia="en-GB"/>
        </w:rPr>
        <w:t>;</w:t>
      </w:r>
    </w:p>
    <w:p w14:paraId="2BCFD23A" w14:textId="34D8DC90" w:rsidR="00DF5342" w:rsidRDefault="00DF5342"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(b) </w:t>
      </w:r>
      <w:r w:rsidRPr="000A3A8F">
        <w:rPr>
          <w:rFonts w:ascii="inherit" w:eastAsia="Times New Roman" w:hAnsi="inherit" w:cs="Times New Roman"/>
          <w:color w:val="000000"/>
          <w:sz w:val="24"/>
          <w:szCs w:val="24"/>
          <w:lang w:eastAsia="en-GB"/>
        </w:rPr>
        <w:t xml:space="preserve">where the undertaking is exempted from reporting the template S.06.03.01 in relation to the last quarter in accordance with Article 35(6) of Directive 2009/138/EC or has not reported it quarterly because the ratio of collective investments held by the undertaking to total investments, as referred to in Article </w:t>
      </w:r>
      <w:r w:rsidR="00412DDF">
        <w:rPr>
          <w:rFonts w:ascii="inherit" w:eastAsia="Times New Roman" w:hAnsi="inherit" w:cs="Times New Roman"/>
          <w:color w:val="000000"/>
          <w:sz w:val="24"/>
          <w:szCs w:val="24"/>
          <w:lang w:eastAsia="en-GB"/>
        </w:rPr>
        <w:t>7</w:t>
      </w:r>
      <w:r w:rsidRPr="000A3A8F">
        <w:rPr>
          <w:rFonts w:ascii="inherit" w:eastAsia="Times New Roman" w:hAnsi="inherit" w:cs="Times New Roman"/>
          <w:color w:val="000000"/>
          <w:sz w:val="24"/>
          <w:szCs w:val="24"/>
          <w:lang w:eastAsia="en-GB"/>
        </w:rPr>
        <w:t>(1)(f) of this Regulation, is not higher than 30 %, template S.06.03.01 of Annex I to this Regulation, providing information on the look-through of all collective investments held by the undertakings, following the instructions set out in section S.06.03 of Annex II to this Regulation</w:t>
      </w:r>
      <w:r>
        <w:rPr>
          <w:rFonts w:ascii="inherit" w:eastAsia="Times New Roman" w:hAnsi="inherit" w:cs="Times New Roman"/>
          <w:color w:val="000000"/>
          <w:sz w:val="24"/>
          <w:szCs w:val="24"/>
          <w:lang w:eastAsia="en-GB"/>
        </w:rPr>
        <w:t>;</w:t>
      </w:r>
    </w:p>
    <w:p w14:paraId="5A867D1D" w14:textId="1422EB55" w:rsidR="00DF5342" w:rsidRDefault="00DF5342" w:rsidP="00DF5342">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(c) </w:t>
      </w:r>
      <w:proofErr w:type="gramStart"/>
      <w:r>
        <w:rPr>
          <w:rFonts w:ascii="inherit" w:eastAsia="Times New Roman" w:hAnsi="inherit" w:cs="Times New Roman"/>
          <w:color w:val="000000"/>
          <w:sz w:val="24"/>
          <w:szCs w:val="24"/>
          <w:lang w:eastAsia="en-GB"/>
        </w:rPr>
        <w:t>t</w:t>
      </w:r>
      <w:r w:rsidRPr="008004A3">
        <w:rPr>
          <w:rFonts w:ascii="inherit" w:eastAsia="Times New Roman" w:hAnsi="inherit" w:cs="Times New Roman"/>
          <w:color w:val="000000"/>
          <w:sz w:val="24"/>
          <w:szCs w:val="24"/>
          <w:lang w:eastAsia="en-GB"/>
        </w:rPr>
        <w:t>emplate</w:t>
      </w:r>
      <w:proofErr w:type="gramEnd"/>
      <w:r w:rsidRPr="008004A3">
        <w:rPr>
          <w:rFonts w:ascii="inherit" w:eastAsia="Times New Roman" w:hAnsi="inherit" w:cs="Times New Roman"/>
          <w:color w:val="000000"/>
          <w:sz w:val="24"/>
          <w:szCs w:val="24"/>
          <w:lang w:eastAsia="en-GB"/>
        </w:rPr>
        <w:t xml:space="preserve"> S.</w:t>
      </w:r>
      <w:r w:rsidRPr="003D46AB">
        <w:rPr>
          <w:rFonts w:ascii="inherit" w:eastAsia="Times New Roman" w:hAnsi="inherit" w:cs="Times New Roman"/>
          <w:color w:val="000000"/>
          <w:sz w:val="24"/>
          <w:szCs w:val="24"/>
          <w:lang w:eastAsia="en-GB"/>
        </w:rPr>
        <w:t>06.04</w:t>
      </w:r>
      <w:r w:rsidRPr="008004A3">
        <w:rPr>
          <w:rFonts w:ascii="inherit" w:eastAsia="Times New Roman" w:hAnsi="inherit" w:cs="Times New Roman"/>
          <w:color w:val="000000"/>
          <w:sz w:val="24"/>
          <w:szCs w:val="24"/>
          <w:lang w:eastAsia="en-GB"/>
        </w:rPr>
        <w:t xml:space="preserve">.01 of Annex I, specifying the information on </w:t>
      </w:r>
      <w:r w:rsidRPr="003D46AB">
        <w:rPr>
          <w:rFonts w:ascii="inherit" w:eastAsia="Times New Roman" w:hAnsi="inherit" w:cs="Times New Roman"/>
          <w:color w:val="000000"/>
          <w:sz w:val="24"/>
          <w:szCs w:val="24"/>
          <w:lang w:eastAsia="en-GB"/>
        </w:rPr>
        <w:t>climate change-related risks to investments</w:t>
      </w:r>
      <w:r w:rsidRPr="008004A3">
        <w:rPr>
          <w:rFonts w:ascii="inherit" w:eastAsia="Times New Roman" w:hAnsi="inherit" w:cs="Times New Roman"/>
          <w:color w:val="000000"/>
          <w:sz w:val="24"/>
          <w:szCs w:val="24"/>
          <w:lang w:eastAsia="en-GB"/>
        </w:rPr>
        <w:t>, following the</w:t>
      </w:r>
      <w:r w:rsidRPr="003D46AB">
        <w:rPr>
          <w:rFonts w:ascii="inherit" w:eastAsia="Times New Roman" w:hAnsi="inherit" w:cs="Times New Roman"/>
          <w:color w:val="000000"/>
          <w:sz w:val="24"/>
          <w:szCs w:val="24"/>
          <w:lang w:eastAsia="en-GB"/>
        </w:rPr>
        <w:t xml:space="preserve"> instructions set out in section S.0</w:t>
      </w:r>
      <w:r>
        <w:rPr>
          <w:rFonts w:ascii="inherit" w:eastAsia="Times New Roman" w:hAnsi="inherit" w:cs="Times New Roman"/>
          <w:color w:val="000000"/>
          <w:sz w:val="24"/>
          <w:szCs w:val="24"/>
          <w:lang w:eastAsia="en-GB"/>
        </w:rPr>
        <w:t>6</w:t>
      </w:r>
      <w:r w:rsidRPr="003D46AB">
        <w:rPr>
          <w:rFonts w:ascii="inherit" w:eastAsia="Times New Roman" w:hAnsi="inherit" w:cs="Times New Roman"/>
          <w:color w:val="000000"/>
          <w:sz w:val="24"/>
          <w:szCs w:val="24"/>
          <w:lang w:eastAsia="en-GB"/>
        </w:rPr>
        <w:t>.0</w:t>
      </w:r>
      <w:r>
        <w:rPr>
          <w:rFonts w:ascii="inherit" w:eastAsia="Times New Roman" w:hAnsi="inherit" w:cs="Times New Roman"/>
          <w:color w:val="000000"/>
          <w:sz w:val="24"/>
          <w:szCs w:val="24"/>
          <w:lang w:eastAsia="en-GB"/>
        </w:rPr>
        <w:t>4</w:t>
      </w:r>
      <w:r w:rsidRPr="003D46AB">
        <w:rPr>
          <w:rFonts w:ascii="inherit" w:eastAsia="Times New Roman" w:hAnsi="inherit" w:cs="Times New Roman"/>
          <w:color w:val="000000"/>
          <w:sz w:val="24"/>
          <w:szCs w:val="24"/>
          <w:lang w:eastAsia="en-GB"/>
        </w:rPr>
        <w:t xml:space="preserve"> of Annex II</w:t>
      </w:r>
      <w:r>
        <w:rPr>
          <w:rFonts w:ascii="inherit" w:eastAsia="Times New Roman" w:hAnsi="inherit" w:cs="Times New Roman"/>
          <w:color w:val="000000"/>
          <w:sz w:val="24"/>
          <w:szCs w:val="24"/>
          <w:lang w:eastAsia="en-GB"/>
        </w:rPr>
        <w:t>;</w:t>
      </w:r>
    </w:p>
    <w:p w14:paraId="1AAAC996" w14:textId="11465633" w:rsidR="00DF5342" w:rsidRDefault="00DF5342" w:rsidP="00DF5342">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(d) </w:t>
      </w:r>
      <w:r w:rsidRPr="00C80646">
        <w:rPr>
          <w:rFonts w:ascii="inherit" w:eastAsia="Times New Roman" w:hAnsi="inherit" w:cs="Times New Roman"/>
          <w:color w:val="000000"/>
          <w:sz w:val="24"/>
          <w:szCs w:val="24"/>
          <w:lang w:eastAsia="en-GB"/>
        </w:rPr>
        <w:t>where the value of structured products, determined as the sum of assets classified in categories 5 and 6, as defined in Annex V, represents more than 5 % of the total investments as reported in items C0010/R0070 and C0010/R0220 of template S.02.01.01, template S.07.01.01 of Annex I, providing an item-by-item list of structured products, following the instructions set out in section S.07.01 of Annex II;</w:t>
      </w:r>
    </w:p>
    <w:p w14:paraId="5265AD88" w14:textId="01DAD6BE" w:rsidR="00DF5342" w:rsidRDefault="00DF5342" w:rsidP="00DF5342">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(e) </w:t>
      </w:r>
      <w:r w:rsidRPr="000A3A8F">
        <w:rPr>
          <w:rFonts w:ascii="inherit" w:eastAsia="Times New Roman" w:hAnsi="inherit" w:cs="Times New Roman"/>
          <w:color w:val="000000"/>
          <w:sz w:val="24"/>
          <w:szCs w:val="24"/>
          <w:lang w:eastAsia="en-GB"/>
        </w:rPr>
        <w:t>where the undertakings are exempted from reporting the template S.08.01.01 in relation to the last quarter in accordance with Article 35(6) of Directive 2009/138/EC, template S.08.01.01 of Annex I to this Regulation, providing an item-by-item list of open positions of derivatives, following the instructions set out in section S.08.01 of Annex II to this Regulation and using the CIC code as set out in Annex V and defined in Annex VI to this Regulation</w:t>
      </w:r>
      <w:r>
        <w:rPr>
          <w:rFonts w:ascii="inherit" w:eastAsia="Times New Roman" w:hAnsi="inherit" w:cs="Times New Roman"/>
          <w:color w:val="000000"/>
          <w:sz w:val="24"/>
          <w:szCs w:val="24"/>
          <w:lang w:eastAsia="en-GB"/>
        </w:rPr>
        <w:t>;</w:t>
      </w:r>
    </w:p>
    <w:p w14:paraId="436CF909" w14:textId="0832EBD5" w:rsidR="00DF5342" w:rsidRDefault="00DF5342" w:rsidP="00DF5342">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(f) </w:t>
      </w:r>
      <w:r w:rsidRPr="000A3A8F">
        <w:rPr>
          <w:rFonts w:ascii="inherit" w:eastAsia="Times New Roman" w:hAnsi="inherit" w:cs="Times New Roman"/>
          <w:color w:val="000000"/>
          <w:sz w:val="24"/>
          <w:szCs w:val="24"/>
          <w:lang w:eastAsia="en-GB"/>
        </w:rPr>
        <w:t>template S.09.01.01 of Annex I, specifying information on income, gains and losses in the reporting period by asset category as defined in Annex IV, following the instructions set out in section S.09.01 of Annex II</w:t>
      </w:r>
      <w:r>
        <w:rPr>
          <w:rFonts w:ascii="inherit" w:eastAsia="Times New Roman" w:hAnsi="inherit" w:cs="Times New Roman"/>
          <w:color w:val="000000"/>
          <w:sz w:val="24"/>
          <w:szCs w:val="24"/>
          <w:lang w:eastAsia="en-GB"/>
        </w:rPr>
        <w:t>;</w:t>
      </w:r>
    </w:p>
    <w:p w14:paraId="248E06D9" w14:textId="5B5C9A82" w:rsidR="00DF5342" w:rsidRDefault="00DF5342" w:rsidP="00DF5342">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(g) </w:t>
      </w:r>
      <w:r w:rsidRPr="000A3A8F">
        <w:rPr>
          <w:rFonts w:ascii="inherit" w:eastAsia="Times New Roman" w:hAnsi="inherit" w:cs="Times New Roman"/>
          <w:color w:val="000000"/>
          <w:sz w:val="24"/>
          <w:szCs w:val="24"/>
          <w:lang w:eastAsia="en-GB"/>
        </w:rPr>
        <w:t>where the value of the underlying securities, on and off balance sheet, involved in lending or repurchase agreements, for contracts w</w:t>
      </w:r>
      <w:r w:rsidRPr="00172BDE">
        <w:rPr>
          <w:rFonts w:ascii="inherit" w:eastAsia="Times New Roman" w:hAnsi="inherit" w:cs="Times New Roman"/>
          <w:color w:val="000000"/>
          <w:sz w:val="24"/>
          <w:szCs w:val="24"/>
          <w:lang w:eastAsia="en-GB"/>
        </w:rPr>
        <w:t xml:space="preserve">ith maturity dates falling after the reporting reference date, </w:t>
      </w:r>
      <w:r w:rsidRPr="00F87F86">
        <w:rPr>
          <w:rFonts w:ascii="inherit" w:eastAsia="Times New Roman" w:hAnsi="inherit" w:cs="Times New Roman"/>
          <w:color w:val="000000"/>
          <w:sz w:val="24"/>
          <w:szCs w:val="24"/>
          <w:lang w:eastAsia="en-GB"/>
        </w:rPr>
        <w:t>represents more than 5 % o</w:t>
      </w:r>
      <w:r w:rsidRPr="00172BDE">
        <w:rPr>
          <w:rFonts w:ascii="inherit" w:eastAsia="Times New Roman" w:hAnsi="inherit" w:cs="Times New Roman"/>
          <w:color w:val="000000"/>
          <w:sz w:val="24"/>
          <w:szCs w:val="24"/>
          <w:lang w:eastAsia="en-GB"/>
        </w:rPr>
        <w:t>f the total investments as reported in items C0010/R0070 and C0010/R0220 of template S.</w:t>
      </w:r>
      <w:r w:rsidRPr="000A3A8F">
        <w:rPr>
          <w:rFonts w:ascii="inherit" w:eastAsia="Times New Roman" w:hAnsi="inherit" w:cs="Times New Roman"/>
          <w:color w:val="000000"/>
          <w:sz w:val="24"/>
          <w:szCs w:val="24"/>
          <w:lang w:eastAsia="en-GB"/>
        </w:rPr>
        <w:t>02.01.01, template S.10.01.01 of Annex I, providing an item-by-item list of securities lending and repurchase agreements, on and off-balance sheet, following the instructions set out in section S.10.01 of Annex II</w:t>
      </w:r>
    </w:p>
    <w:p w14:paraId="7C94C9CC" w14:textId="6A739DBF" w:rsidR="000A3A8F" w:rsidRPr="000A3A8F" w:rsidRDefault="00DF5342" w:rsidP="00DF5342">
      <w:pPr>
        <w:spacing w:before="120" w:after="0" w:line="240" w:lineRule="auto"/>
        <w:jc w:val="both"/>
        <w:rPr>
          <w:rFonts w:ascii="Times New Roman" w:eastAsia="Times New Roman" w:hAnsi="Times New Roman" w:cs="Times New Roman"/>
          <w:vanish/>
          <w:sz w:val="24"/>
          <w:szCs w:val="24"/>
          <w:lang w:eastAsia="en-GB"/>
        </w:rPr>
      </w:pPr>
      <w:r>
        <w:rPr>
          <w:rFonts w:ascii="inherit" w:eastAsia="Times New Roman" w:hAnsi="inherit" w:cs="Times New Roman"/>
          <w:color w:val="000000"/>
          <w:sz w:val="24"/>
          <w:szCs w:val="24"/>
          <w:lang w:eastAsia="en-GB"/>
        </w:rPr>
        <w:t xml:space="preserve">(h) where the ratio of the value of assets held as collateral to total balance sheet </w:t>
      </w:r>
      <w:r w:rsidRPr="000A3A8F">
        <w:rPr>
          <w:rFonts w:ascii="inherit" w:eastAsia="Times New Roman" w:hAnsi="inherit" w:cs="Times New Roman"/>
          <w:color w:val="000000"/>
          <w:sz w:val="24"/>
          <w:szCs w:val="24"/>
          <w:lang w:eastAsia="en-GB"/>
        </w:rPr>
        <w:t>as reported in items C0010/</w:t>
      </w:r>
      <w:r>
        <w:rPr>
          <w:rFonts w:ascii="inherit" w:eastAsia="Times New Roman" w:hAnsi="inherit" w:cs="Times New Roman"/>
          <w:color w:val="000000"/>
          <w:sz w:val="24"/>
          <w:szCs w:val="24"/>
          <w:lang w:eastAsia="en-GB"/>
        </w:rPr>
        <w:t>R0500</w:t>
      </w:r>
      <w:r w:rsidRPr="000A3A8F">
        <w:rPr>
          <w:rFonts w:ascii="inherit" w:eastAsia="Times New Roman" w:hAnsi="inherit" w:cs="Times New Roman"/>
          <w:color w:val="000000"/>
          <w:sz w:val="24"/>
          <w:szCs w:val="24"/>
          <w:lang w:eastAsia="en-GB"/>
        </w:rPr>
        <w:t xml:space="preserve"> of template S.02.01.01</w:t>
      </w:r>
      <w:r>
        <w:rPr>
          <w:rFonts w:ascii="inherit" w:eastAsia="Times New Roman" w:hAnsi="inherit" w:cs="Times New Roman"/>
          <w:color w:val="000000"/>
          <w:sz w:val="24"/>
          <w:szCs w:val="24"/>
          <w:lang w:eastAsia="en-GB"/>
        </w:rPr>
        <w:t xml:space="preserve"> exceeds 10%, </w:t>
      </w:r>
      <w:r w:rsidRPr="000A3A8F">
        <w:rPr>
          <w:rFonts w:ascii="inherit" w:eastAsia="Times New Roman" w:hAnsi="inherit" w:cs="Times New Roman"/>
          <w:color w:val="000000"/>
          <w:sz w:val="24"/>
          <w:szCs w:val="24"/>
          <w:lang w:eastAsia="en-GB"/>
        </w:rPr>
        <w:t>template S.11.01.01 of Annex I, providing an item-by-item list of assets held as collateral, consisting of all types of off-balance sheet asset categories held as collateral, following the instructions set out in section S.11.01 of Annex II</w:t>
      </w:r>
      <w:r>
        <w:rPr>
          <w:rFonts w:ascii="inherit" w:eastAsia="Times New Roman" w:hAnsi="inherit" w:cs="Times New Roman"/>
          <w:color w:val="000000"/>
          <w:sz w:val="24"/>
          <w:szCs w:val="24"/>
          <w:lang w:eastAsia="en-GB"/>
        </w:rPr>
        <w:t>.</w:t>
      </w:r>
      <w:r>
        <w:rPr>
          <w:rFonts w:ascii="Times New Roman" w:eastAsia="Times New Roman" w:hAnsi="Times New Roman" w:cs="Times New Roman"/>
          <w:color w:val="000000"/>
          <w:sz w:val="24"/>
          <w:szCs w:val="24"/>
          <w:lang w:eastAsia="en-GB"/>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07DE5B99" w14:textId="77777777" w:rsidTr="000A3A8F">
        <w:tc>
          <w:tcPr>
            <w:tcW w:w="0" w:type="auto"/>
            <w:shd w:val="clear" w:color="auto" w:fill="FFFFFF"/>
            <w:hideMark/>
          </w:tcPr>
          <w:p w14:paraId="730EA313" w14:textId="3758D66B"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1392F56F" w14:textId="4627D891" w:rsidR="000A3A8F" w:rsidRPr="000A3A8F" w:rsidRDefault="000A3A8F" w:rsidP="00294261">
            <w:pPr>
              <w:spacing w:before="120" w:after="0" w:line="240" w:lineRule="auto"/>
              <w:jc w:val="both"/>
              <w:rPr>
                <w:rFonts w:ascii="inherit" w:eastAsia="Times New Roman" w:hAnsi="inherit" w:cs="Times New Roman"/>
                <w:color w:val="000000"/>
                <w:sz w:val="24"/>
                <w:szCs w:val="24"/>
                <w:lang w:eastAsia="en-GB"/>
              </w:rPr>
            </w:pPr>
          </w:p>
        </w:tc>
      </w:tr>
    </w:tbl>
    <w:p w14:paraId="786CBFDD" w14:textId="46D7CD7B"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w:t>
      </w:r>
      <w:r w:rsidR="00DF5342">
        <w:rPr>
          <w:rFonts w:ascii="Times New Roman" w:eastAsia="Times New Roman" w:hAnsi="Times New Roman" w:cs="Times New Roman"/>
          <w:i/>
          <w:iCs/>
          <w:color w:val="000000"/>
          <w:sz w:val="24"/>
          <w:szCs w:val="24"/>
          <w:lang w:eastAsia="en-GB"/>
        </w:rPr>
        <w:t>2</w:t>
      </w:r>
    </w:p>
    <w:p w14:paraId="7F0985D4" w14:textId="7D42FDF8"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1E5A99">
        <w:rPr>
          <w:rFonts w:ascii="Times New Roman" w:eastAsia="Times New Roman" w:hAnsi="Times New Roman" w:cs="Times New Roman"/>
          <w:b/>
          <w:bCs/>
          <w:color w:val="000000"/>
          <w:sz w:val="24"/>
          <w:szCs w:val="24"/>
          <w:lang w:eastAsia="en-GB"/>
        </w:rPr>
        <w:t xml:space="preserve"> and captive insurance undertakings</w:t>
      </w:r>
      <w:r w:rsidR="001E5A99"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xml:space="preserve">— Technical provisions </w:t>
      </w:r>
      <w:r w:rsidR="001C5F33">
        <w:rPr>
          <w:rFonts w:ascii="Times New Roman" w:eastAsia="Times New Roman" w:hAnsi="Times New Roman" w:cs="Times New Roman"/>
          <w:b/>
          <w:bCs/>
          <w:color w:val="000000"/>
          <w:sz w:val="24"/>
          <w:szCs w:val="24"/>
          <w:lang w:eastAsia="en-GB"/>
        </w:rPr>
        <w:t xml:space="preserve">and risks </w:t>
      </w:r>
      <w:r w:rsidRPr="000A3A8F">
        <w:rPr>
          <w:rFonts w:ascii="Times New Roman" w:eastAsia="Times New Roman" w:hAnsi="Times New Roman" w:cs="Times New Roman"/>
          <w:b/>
          <w:bCs/>
          <w:color w:val="000000"/>
          <w:sz w:val="24"/>
          <w:szCs w:val="24"/>
          <w:lang w:eastAsia="en-GB"/>
        </w:rPr>
        <w:t>information</w:t>
      </w:r>
    </w:p>
    <w:p w14:paraId="2B6022A8" w14:textId="7FFB516E" w:rsid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E2BEC">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p w14:paraId="676FEBA2" w14:textId="653E1F07" w:rsidR="00DF5342" w:rsidRDefault="00DF5342"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 </w:t>
      </w:r>
      <w:r w:rsidRPr="000A3A8F">
        <w:rPr>
          <w:rFonts w:ascii="inherit" w:eastAsia="Times New Roman" w:hAnsi="inherit" w:cs="Times New Roman"/>
          <w:color w:val="000000"/>
          <w:sz w:val="24"/>
          <w:szCs w:val="24"/>
          <w:lang w:eastAsia="en-GB"/>
        </w:rPr>
        <w:t>template S.12.01.01 of Annex I, specifying information on life and health SLT technical provisions by line of business as defined in Annex I to Delegated Regulation (EU) 2015/35, following the instructions set out in section S.12.01 of Annex II to this Regulation</w:t>
      </w:r>
      <w:r>
        <w:rPr>
          <w:rFonts w:ascii="inherit" w:eastAsia="Times New Roman" w:hAnsi="inherit" w:cs="Times New Roman"/>
          <w:color w:val="000000"/>
          <w:sz w:val="24"/>
          <w:szCs w:val="24"/>
          <w:lang w:eastAsia="en-GB"/>
        </w:rPr>
        <w:t>;</w:t>
      </w:r>
    </w:p>
    <w:p w14:paraId="1B393560" w14:textId="1C4AAAFE" w:rsidR="00DF5342" w:rsidRDefault="00DF5342"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(b) </w:t>
      </w:r>
      <w:r w:rsidRPr="000A3A8F">
        <w:rPr>
          <w:rFonts w:ascii="inherit" w:eastAsia="Times New Roman" w:hAnsi="inherit" w:cs="Times New Roman"/>
          <w:color w:val="000000"/>
          <w:sz w:val="24"/>
          <w:szCs w:val="24"/>
          <w:lang w:eastAsia="en-GB"/>
        </w:rPr>
        <w:t>template S.12.02.01 of Annex I, specifying information on life and health SLT technical provisions by country</w:t>
      </w:r>
      <w:r>
        <w:rPr>
          <w:rFonts w:ascii="inherit" w:eastAsia="Times New Roman" w:hAnsi="inherit" w:cs="Times New Roman"/>
          <w:color w:val="000000"/>
          <w:sz w:val="24"/>
          <w:szCs w:val="24"/>
          <w:lang w:eastAsia="en-GB"/>
        </w:rPr>
        <w:t xml:space="preserve"> </w:t>
      </w:r>
      <w:r w:rsidRPr="007F7F6A">
        <w:rPr>
          <w:rFonts w:ascii="inherit" w:eastAsia="Times New Roman" w:hAnsi="inherit" w:cs="Times New Roman"/>
          <w:color w:val="000000"/>
          <w:sz w:val="24"/>
          <w:szCs w:val="24"/>
          <w:lang w:eastAsia="en-GB"/>
        </w:rPr>
        <w:t>where the life and health SLT technical provisions regarding the home country does not represent 100% of the sum of the technical provisions calculated as a whole and gross best estimate</w:t>
      </w:r>
      <w:r w:rsidRPr="000A3A8F">
        <w:rPr>
          <w:rFonts w:ascii="inherit" w:eastAsia="Times New Roman" w:hAnsi="inherit" w:cs="Times New Roman"/>
          <w:color w:val="000000"/>
          <w:sz w:val="24"/>
          <w:szCs w:val="24"/>
          <w:lang w:eastAsia="en-GB"/>
        </w:rPr>
        <w:t>, following the instructions set out in section S.12.02 of Annex II</w:t>
      </w:r>
      <w:r>
        <w:rPr>
          <w:rFonts w:ascii="inherit" w:eastAsia="Times New Roman" w:hAnsi="inherit" w:cs="Times New Roman"/>
          <w:color w:val="000000"/>
          <w:sz w:val="24"/>
          <w:szCs w:val="24"/>
          <w:lang w:eastAsia="en-GB"/>
        </w:rPr>
        <w:t>;</w:t>
      </w:r>
    </w:p>
    <w:p w14:paraId="778E896B" w14:textId="57BA81BA" w:rsidR="00DF5342" w:rsidRDefault="00DF5342"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(c) </w:t>
      </w:r>
      <w:r w:rsidR="00223C43" w:rsidRPr="007F7F6A">
        <w:rPr>
          <w:rFonts w:ascii="inherit" w:eastAsia="Times New Roman" w:hAnsi="inherit" w:cs="Times New Roman"/>
          <w:color w:val="000000"/>
          <w:sz w:val="24"/>
          <w:szCs w:val="24"/>
          <w:lang w:eastAsia="en-GB"/>
        </w:rPr>
        <w:t>Unless the undertaking uses simplifications for the calculation of technical provisions, for which an estimate of the expected future cash</w:t>
      </w:r>
      <w:r w:rsidR="00223C43" w:rsidRPr="007F7F6A">
        <w:rPr>
          <w:rFonts w:ascii="inherit" w:eastAsia="Times New Roman" w:hAnsi="inherit" w:cs="Times New Roman" w:hint="eastAsia"/>
          <w:color w:val="000000"/>
          <w:sz w:val="24"/>
          <w:szCs w:val="24"/>
          <w:lang w:eastAsia="en-GB"/>
        </w:rPr>
        <w:t>–</w:t>
      </w:r>
      <w:r w:rsidR="00223C43" w:rsidRPr="007F7F6A">
        <w:rPr>
          <w:rFonts w:ascii="inherit" w:eastAsia="Times New Roman" w:hAnsi="inherit" w:cs="Times New Roman"/>
          <w:color w:val="000000"/>
          <w:sz w:val="24"/>
          <w:szCs w:val="24"/>
          <w:lang w:eastAsia="en-GB"/>
        </w:rPr>
        <w:t>flows arising from the contracts are not calculated</w:t>
      </w:r>
      <w:r w:rsidR="00223C43">
        <w:rPr>
          <w:rFonts w:ascii="inherit" w:eastAsia="Times New Roman" w:hAnsi="inherit" w:cs="Times New Roman"/>
          <w:color w:val="000000"/>
          <w:sz w:val="24"/>
          <w:szCs w:val="24"/>
          <w:lang w:eastAsia="en-GB"/>
        </w:rPr>
        <w:t>,</w:t>
      </w:r>
      <w:r w:rsidR="00223C43" w:rsidRPr="0078154C">
        <w:rPr>
          <w:rFonts w:ascii="inherit" w:eastAsia="Times New Roman" w:hAnsi="inherit" w:cs="Times New Roman"/>
          <w:color w:val="000000"/>
          <w:sz w:val="24"/>
          <w:szCs w:val="24"/>
          <w:lang w:eastAsia="en-GB"/>
        </w:rPr>
        <w:t xml:space="preserve"> </w:t>
      </w:r>
      <w:r w:rsidR="00223C43" w:rsidRPr="000A3A8F">
        <w:rPr>
          <w:rFonts w:ascii="inherit" w:eastAsia="Times New Roman" w:hAnsi="inherit" w:cs="Times New Roman"/>
          <w:color w:val="000000"/>
          <w:sz w:val="24"/>
          <w:szCs w:val="24"/>
          <w:lang w:eastAsia="en-GB"/>
        </w:rPr>
        <w:t>template S.13.01.01 of Annex I, specifying information on the projection of best</w:t>
      </w:r>
      <w:r w:rsidR="00223C43" w:rsidRPr="00223C43">
        <w:rPr>
          <w:rFonts w:ascii="inherit" w:eastAsia="Times New Roman" w:hAnsi="inherit" w:cs="Times New Roman"/>
          <w:color w:val="000000"/>
          <w:sz w:val="24"/>
          <w:szCs w:val="24"/>
          <w:lang w:eastAsia="en-GB"/>
        </w:rPr>
        <w:t xml:space="preserve"> </w:t>
      </w:r>
      <w:r w:rsidR="00223C43" w:rsidRPr="000A3A8F">
        <w:rPr>
          <w:rFonts w:ascii="inherit" w:eastAsia="Times New Roman" w:hAnsi="inherit" w:cs="Times New Roman"/>
          <w:color w:val="000000"/>
          <w:sz w:val="24"/>
          <w:szCs w:val="24"/>
          <w:lang w:eastAsia="en-GB"/>
        </w:rPr>
        <w:t>estimate future cash flows of the life business, following the instructions set out in section S.13.01 of Annex II</w:t>
      </w:r>
      <w:r w:rsidR="00223C43">
        <w:rPr>
          <w:rFonts w:ascii="inherit" w:eastAsia="Times New Roman" w:hAnsi="inherit" w:cs="Times New Roman"/>
          <w:color w:val="000000"/>
          <w:sz w:val="24"/>
          <w:szCs w:val="24"/>
          <w:lang w:eastAsia="en-GB"/>
        </w:rPr>
        <w:t>;</w:t>
      </w:r>
    </w:p>
    <w:p w14:paraId="290F9F2D" w14:textId="5EBC9DD0" w:rsidR="00223C43" w:rsidRDefault="00223C4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(d) </w:t>
      </w:r>
      <w:r w:rsidRPr="000A3A8F">
        <w:rPr>
          <w:rFonts w:ascii="inherit" w:eastAsia="Times New Roman" w:hAnsi="inherit" w:cs="Times New Roman"/>
          <w:color w:val="000000"/>
          <w:sz w:val="24"/>
          <w:szCs w:val="24"/>
          <w:lang w:eastAsia="en-GB"/>
        </w:rPr>
        <w:t>template S.14.01.01 of Annex I, specifying information on life obligations analysis, including life insurance contracts and annuities stemming from non-life contracts, by product issued by the undertaking, following the instructions set out in section S.14.01 of Annex II</w:t>
      </w:r>
      <w:r>
        <w:rPr>
          <w:rFonts w:ascii="inherit" w:eastAsia="Times New Roman" w:hAnsi="inherit" w:cs="Times New Roman"/>
          <w:color w:val="000000"/>
          <w:sz w:val="24"/>
          <w:szCs w:val="24"/>
          <w:lang w:eastAsia="en-GB"/>
        </w:rPr>
        <w:t>;</w:t>
      </w:r>
    </w:p>
    <w:p w14:paraId="04FF1047" w14:textId="795638EC" w:rsidR="00223C43" w:rsidRDefault="00223C4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(e) </w:t>
      </w:r>
      <w:r w:rsidRPr="000A3A8F">
        <w:rPr>
          <w:rFonts w:ascii="inherit" w:eastAsia="Times New Roman" w:hAnsi="inherit" w:cs="Times New Roman"/>
          <w:color w:val="000000"/>
          <w:sz w:val="24"/>
          <w:szCs w:val="24"/>
          <w:lang w:eastAsia="en-GB"/>
        </w:rPr>
        <w:t>template S.14.0</w:t>
      </w:r>
      <w:r>
        <w:rPr>
          <w:rFonts w:ascii="inherit" w:eastAsia="Times New Roman" w:hAnsi="inherit" w:cs="Times New Roman"/>
          <w:color w:val="000000"/>
          <w:sz w:val="24"/>
          <w:szCs w:val="24"/>
          <w:lang w:eastAsia="en-GB"/>
        </w:rPr>
        <w:t>2</w:t>
      </w:r>
      <w:r w:rsidRPr="000A3A8F">
        <w:rPr>
          <w:rFonts w:ascii="inherit" w:eastAsia="Times New Roman" w:hAnsi="inherit" w:cs="Times New Roman"/>
          <w:color w:val="000000"/>
          <w:sz w:val="24"/>
          <w:szCs w:val="24"/>
          <w:lang w:eastAsia="en-GB"/>
        </w:rPr>
        <w:t xml:space="preserve">.01 of Annex </w:t>
      </w:r>
      <w:r w:rsidRPr="006E2E86">
        <w:rPr>
          <w:rFonts w:ascii="inherit" w:eastAsia="Times New Roman" w:hAnsi="inherit" w:cs="Times New Roman"/>
          <w:color w:val="000000"/>
          <w:sz w:val="24"/>
          <w:szCs w:val="24"/>
          <w:lang w:eastAsia="en-GB"/>
        </w:rPr>
        <w:t>I, specifying information on non-life obligations analysis,  by</w:t>
      </w:r>
      <w:r w:rsidRPr="00571692">
        <w:rPr>
          <w:rFonts w:ascii="inherit" w:eastAsia="Times New Roman" w:hAnsi="inherit" w:cs="Times New Roman"/>
          <w:color w:val="000000"/>
          <w:sz w:val="24"/>
          <w:szCs w:val="24"/>
          <w:lang w:eastAsia="en-GB"/>
        </w:rPr>
        <w:t xml:space="preserve"> </w:t>
      </w:r>
      <w:r w:rsidRPr="00021AAB">
        <w:rPr>
          <w:rFonts w:ascii="inherit" w:eastAsia="Times New Roman" w:hAnsi="inherit" w:cs="Times New Roman"/>
          <w:color w:val="000000"/>
          <w:sz w:val="24"/>
          <w:szCs w:val="24"/>
          <w:lang w:eastAsia="en-GB"/>
        </w:rPr>
        <w:t xml:space="preserve">line of business and specific product categories issued by the undertaking, following the instructions set out </w:t>
      </w:r>
      <w:r w:rsidRPr="00571692">
        <w:rPr>
          <w:rFonts w:ascii="inherit" w:eastAsia="Times New Roman" w:hAnsi="inherit" w:cs="Times New Roman"/>
          <w:color w:val="000000"/>
          <w:sz w:val="24"/>
          <w:szCs w:val="24"/>
          <w:lang w:eastAsia="en-GB"/>
        </w:rPr>
        <w:t>in section S.14.02 of Annex II</w:t>
      </w:r>
      <w:r>
        <w:rPr>
          <w:rFonts w:ascii="inherit" w:eastAsia="Times New Roman" w:hAnsi="inherit" w:cs="Times New Roman"/>
          <w:color w:val="000000"/>
          <w:sz w:val="24"/>
          <w:szCs w:val="24"/>
          <w:lang w:eastAsia="en-GB"/>
        </w:rPr>
        <w:t>;</w:t>
      </w:r>
    </w:p>
    <w:p w14:paraId="7BD29F74" w14:textId="55301F41" w:rsidR="00223C43" w:rsidRDefault="00223C4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(f) </w:t>
      </w:r>
      <w:r w:rsidRPr="006E2E86">
        <w:rPr>
          <w:rFonts w:ascii="inherit" w:eastAsia="Times New Roman" w:hAnsi="inherit" w:cs="Times New Roman"/>
          <w:color w:val="000000"/>
          <w:sz w:val="24"/>
          <w:szCs w:val="24"/>
          <w:lang w:eastAsia="en-GB"/>
        </w:rPr>
        <w:t>template S.14.03 of Annex I, specifying information on cyber underwriting risk, following instructions set out in section S.14.03 of Annex II, where any of the following conditions apply</w:t>
      </w:r>
      <w:r>
        <w:rPr>
          <w:rFonts w:ascii="inherit" w:eastAsia="Times New Roman" w:hAnsi="inherit" w:cs="Times New Roman"/>
          <w:color w:val="000000"/>
          <w:sz w:val="24"/>
          <w:szCs w:val="24"/>
          <w:lang w:eastAsia="en-GB"/>
        </w:rPr>
        <w:t>;</w:t>
      </w:r>
    </w:p>
    <w:p w14:paraId="300F202A" w14:textId="77777777" w:rsidR="00223C43" w:rsidRDefault="00223C43" w:rsidP="00223C43">
      <w:pPr>
        <w:ind w:left="720"/>
        <w:rPr>
          <w:rFonts w:ascii="inherit" w:eastAsia="Times New Roman" w:hAnsi="inherit" w:cs="Times New Roman"/>
          <w:color w:val="000000"/>
          <w:sz w:val="24"/>
          <w:szCs w:val="24"/>
          <w:lang w:eastAsia="en-GB"/>
        </w:rPr>
      </w:pPr>
      <w:r w:rsidRPr="006E2E86">
        <w:rPr>
          <w:rFonts w:ascii="inherit" w:eastAsia="Times New Roman" w:hAnsi="inherit" w:cs="Times New Roman"/>
          <w:color w:val="000000"/>
          <w:sz w:val="24"/>
          <w:szCs w:val="24"/>
          <w:lang w:eastAsia="en-GB"/>
        </w:rPr>
        <w:t>(</w:t>
      </w:r>
      <w:proofErr w:type="spellStart"/>
      <w:r w:rsidRPr="006E2E86">
        <w:rPr>
          <w:rFonts w:ascii="inherit" w:eastAsia="Times New Roman" w:hAnsi="inherit" w:cs="Times New Roman"/>
          <w:color w:val="000000"/>
          <w:sz w:val="24"/>
          <w:szCs w:val="24"/>
          <w:lang w:eastAsia="en-GB"/>
        </w:rPr>
        <w:t>i</w:t>
      </w:r>
      <w:proofErr w:type="spellEnd"/>
      <w:r w:rsidRPr="006E2E86">
        <w:rPr>
          <w:rFonts w:ascii="inherit" w:eastAsia="Times New Roman" w:hAnsi="inherit" w:cs="Times New Roman"/>
          <w:color w:val="000000"/>
          <w:sz w:val="24"/>
          <w:szCs w:val="24"/>
          <w:lang w:eastAsia="en-GB"/>
        </w:rPr>
        <w:t xml:space="preserve">) sum of premiums earned for standalone cyber policies and policies with cyber as add-on coverage (where only the (estimated) premiums earned for cyber risk should be taken into account) is greater than 5% of the overall non-life business pursued by the undertaking or greater than 5 million </w:t>
      </w:r>
      <w:r w:rsidRPr="006E2E86">
        <w:rPr>
          <w:rFonts w:ascii="inherit" w:eastAsia="Times New Roman" w:hAnsi="inherit" w:cs="Times New Roman" w:hint="eastAsia"/>
          <w:color w:val="000000"/>
          <w:sz w:val="24"/>
          <w:szCs w:val="24"/>
          <w:lang w:eastAsia="en-GB"/>
        </w:rPr>
        <w:t>€</w:t>
      </w:r>
      <w:r w:rsidRPr="006E2E86">
        <w:rPr>
          <w:rFonts w:ascii="inherit" w:eastAsia="Times New Roman" w:hAnsi="inherit" w:cs="Times New Roman"/>
          <w:color w:val="000000"/>
          <w:sz w:val="24"/>
          <w:szCs w:val="24"/>
          <w:lang w:eastAsia="en-GB"/>
        </w:rPr>
        <w:t>;</w:t>
      </w:r>
    </w:p>
    <w:p w14:paraId="322BD74E" w14:textId="33251122" w:rsidR="00223C43" w:rsidRDefault="00223C43" w:rsidP="00223C43">
      <w:pPr>
        <w:ind w:left="720"/>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(ii) </w:t>
      </w:r>
      <w:proofErr w:type="gramStart"/>
      <w:r>
        <w:rPr>
          <w:rFonts w:ascii="inherit" w:eastAsia="Times New Roman" w:hAnsi="inherit" w:cs="Times New Roman"/>
          <w:color w:val="000000"/>
          <w:sz w:val="24"/>
          <w:szCs w:val="24"/>
          <w:lang w:eastAsia="en-GB"/>
        </w:rPr>
        <w:t>n</w:t>
      </w:r>
      <w:r w:rsidRPr="009F4A1E">
        <w:rPr>
          <w:rFonts w:ascii="inherit" w:eastAsia="Times New Roman" w:hAnsi="inherit" w:cs="Times New Roman"/>
          <w:color w:val="000000"/>
          <w:sz w:val="24"/>
          <w:szCs w:val="24"/>
          <w:lang w:eastAsia="en-GB"/>
        </w:rPr>
        <w:t>umber</w:t>
      </w:r>
      <w:proofErr w:type="gramEnd"/>
      <w:r w:rsidRPr="009F4A1E">
        <w:rPr>
          <w:rFonts w:ascii="inherit" w:eastAsia="Times New Roman" w:hAnsi="inherit" w:cs="Times New Roman"/>
          <w:color w:val="000000"/>
          <w:sz w:val="24"/>
          <w:szCs w:val="24"/>
          <w:lang w:eastAsia="en-GB"/>
        </w:rPr>
        <w:t xml:space="preserve"> of policies that include cyber</w:t>
      </w:r>
      <w:r>
        <w:rPr>
          <w:rFonts w:ascii="inherit" w:eastAsia="Times New Roman" w:hAnsi="inherit" w:cs="Times New Roman"/>
          <w:color w:val="000000"/>
          <w:sz w:val="24"/>
          <w:szCs w:val="24"/>
          <w:lang w:eastAsia="en-GB"/>
        </w:rPr>
        <w:t xml:space="preserve"> risk coverage</w:t>
      </w:r>
      <w:r w:rsidRPr="009F4A1E">
        <w:rPr>
          <w:rFonts w:ascii="inherit" w:eastAsia="Times New Roman" w:hAnsi="inherit" w:cs="Times New Roman"/>
          <w:color w:val="000000"/>
          <w:sz w:val="24"/>
          <w:szCs w:val="24"/>
          <w:lang w:eastAsia="en-GB"/>
        </w:rPr>
        <w:t xml:space="preserve"> (i.e. standalone cyber and/or cyber ad add-on policy) represent more than 3% of the total number of policies of the non-life business)</w:t>
      </w:r>
      <w:r>
        <w:rPr>
          <w:rFonts w:ascii="inherit" w:eastAsia="Times New Roman" w:hAnsi="inherit" w:cs="Times New Roman"/>
          <w:color w:val="000000"/>
          <w:sz w:val="24"/>
          <w:szCs w:val="24"/>
          <w:lang w:eastAsia="en-GB"/>
        </w:rPr>
        <w:t>;</w:t>
      </w:r>
    </w:p>
    <w:p w14:paraId="5580DB41" w14:textId="44C58AE7" w:rsidR="000A3A8F" w:rsidRPr="000A3A8F" w:rsidRDefault="000A3A8F" w:rsidP="00223C43">
      <w:pPr>
        <w:shd w:val="clear" w:color="auto" w:fill="FFFFFF"/>
        <w:spacing w:before="120" w:after="0" w:line="240" w:lineRule="auto"/>
        <w:jc w:val="both"/>
        <w:rPr>
          <w:rFonts w:ascii="Times New Roman" w:eastAsia="Times New Roman" w:hAnsi="Times New Roman" w:cs="Times New Roman"/>
          <w:vanish/>
          <w:sz w:val="24"/>
          <w:szCs w:val="24"/>
          <w:lang w:eastAsia="en-GB"/>
        </w:rPr>
      </w:pPr>
    </w:p>
    <w:p w14:paraId="6966937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773507B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B8FAE62" w14:textId="77777777" w:rsidTr="000A3A8F">
        <w:tc>
          <w:tcPr>
            <w:tcW w:w="0" w:type="auto"/>
            <w:shd w:val="clear" w:color="auto" w:fill="FFFFFF"/>
            <w:hideMark/>
          </w:tcPr>
          <w:p w14:paraId="4876E5E1"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145DCB46" w14:textId="696083D4"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S.16.01.01 of Annex I, specifying information on annuities stemming from non-life insurance obligations issued by the undertaking under direct insurance business originating annuities, regarding all lines of business as defined in Annex I to Delegated Regulation (EU) 2015/35</w:t>
            </w:r>
            <w:r w:rsidR="002830A4">
              <w:rPr>
                <w:rFonts w:ascii="inherit" w:eastAsia="Times New Roman" w:hAnsi="inherit" w:cs="Times New Roman"/>
                <w:color w:val="000000"/>
                <w:sz w:val="24"/>
                <w:szCs w:val="24"/>
                <w:lang w:eastAsia="en-GB"/>
              </w:rPr>
              <w:t xml:space="preserve">. For </w:t>
            </w:r>
            <w:r w:rsidR="002830A4">
              <w:rPr>
                <w:rFonts w:ascii="Times New Roman" w:eastAsia="Times New Roman" w:hAnsi="Times New Roman" w:cs="Times New Roman"/>
                <w:color w:val="000000"/>
                <w:sz w:val="24"/>
                <w:szCs w:val="24"/>
                <w:lang w:eastAsia="en-GB"/>
              </w:rPr>
              <w:t>i</w:t>
            </w:r>
            <w:r w:rsidR="002830A4" w:rsidRPr="000A3A8F">
              <w:rPr>
                <w:rFonts w:ascii="Times New Roman" w:eastAsia="Times New Roman" w:hAnsi="Times New Roman" w:cs="Times New Roman"/>
                <w:color w:val="000000"/>
                <w:sz w:val="24"/>
                <w:szCs w:val="24"/>
                <w:lang w:eastAsia="en-GB"/>
              </w:rPr>
              <w:t xml:space="preserve">nsurance and </w:t>
            </w:r>
            <w:r w:rsidR="002830A4" w:rsidRPr="006E2E86">
              <w:rPr>
                <w:rFonts w:ascii="Times New Roman" w:eastAsia="Times New Roman" w:hAnsi="Times New Roman" w:cs="Times New Roman"/>
                <w:color w:val="000000"/>
                <w:sz w:val="24"/>
                <w:szCs w:val="24"/>
                <w:lang w:eastAsia="en-GB"/>
              </w:rPr>
              <w:t xml:space="preserve">reinsurance undertakings other than captive insurance or </w:t>
            </w:r>
            <w:r w:rsidR="00D92DC2" w:rsidRPr="006E2E86">
              <w:rPr>
                <w:rFonts w:ascii="Times New Roman" w:eastAsia="Times New Roman" w:hAnsi="Times New Roman" w:cs="Times New Roman"/>
                <w:color w:val="000000"/>
                <w:sz w:val="24"/>
                <w:szCs w:val="24"/>
                <w:lang w:eastAsia="en-GB"/>
              </w:rPr>
              <w:t xml:space="preserve">captive </w:t>
            </w:r>
            <w:r w:rsidR="002830A4" w:rsidRPr="006E2E86">
              <w:rPr>
                <w:rFonts w:ascii="Times New Roman" w:eastAsia="Times New Roman" w:hAnsi="Times New Roman" w:cs="Times New Roman"/>
                <w:color w:val="000000"/>
                <w:sz w:val="24"/>
                <w:szCs w:val="24"/>
                <w:lang w:eastAsia="en-GB"/>
              </w:rPr>
              <w:t>reinsurance undertaking</w:t>
            </w:r>
            <w:r w:rsidRPr="006E2E86">
              <w:rPr>
                <w:rFonts w:ascii="inherit" w:eastAsia="Times New Roman" w:hAnsi="inherit" w:cs="Times New Roman"/>
                <w:color w:val="000000"/>
                <w:sz w:val="24"/>
                <w:szCs w:val="24"/>
                <w:lang w:eastAsia="en-GB"/>
              </w:rPr>
              <w:t xml:space="preserve"> </w:t>
            </w:r>
            <w:r w:rsidR="002830A4" w:rsidRPr="006E2E86">
              <w:rPr>
                <w:rFonts w:ascii="inherit" w:eastAsia="Times New Roman" w:hAnsi="inherit" w:cs="Times New Roman"/>
                <w:color w:val="000000"/>
                <w:sz w:val="24"/>
                <w:szCs w:val="24"/>
                <w:lang w:eastAsia="en-GB"/>
              </w:rPr>
              <w:t xml:space="preserve">information </w:t>
            </w:r>
            <w:r w:rsidR="00964D8D" w:rsidRPr="006E2E86">
              <w:rPr>
                <w:rFonts w:ascii="inherit" w:eastAsia="Times New Roman" w:hAnsi="inherit" w:cs="Times New Roman"/>
                <w:color w:val="000000"/>
                <w:sz w:val="24"/>
                <w:szCs w:val="24"/>
                <w:lang w:eastAsia="en-GB"/>
              </w:rPr>
              <w:t xml:space="preserve">shall </w:t>
            </w:r>
            <w:r w:rsidRPr="006E2E86">
              <w:rPr>
                <w:rFonts w:ascii="inherit" w:eastAsia="Times New Roman" w:hAnsi="inherit" w:cs="Times New Roman"/>
                <w:color w:val="000000"/>
                <w:sz w:val="24"/>
                <w:szCs w:val="24"/>
                <w:lang w:eastAsia="en-GB"/>
              </w:rPr>
              <w:t xml:space="preserve">additionally </w:t>
            </w:r>
            <w:r w:rsidR="00964D8D" w:rsidRPr="006E2E86">
              <w:rPr>
                <w:rFonts w:ascii="inherit" w:eastAsia="Times New Roman" w:hAnsi="inherit" w:cs="Times New Roman"/>
                <w:color w:val="000000"/>
                <w:sz w:val="24"/>
                <w:szCs w:val="24"/>
                <w:lang w:eastAsia="en-GB"/>
              </w:rPr>
              <w:t>be reported</w:t>
            </w:r>
            <w:r w:rsidR="00964D8D">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 xml:space="preserve">by currency, following the instructions set out in section S.16.01 of Annex II to this Regulation; the information by currency shall only be reported where the best estimate for the annuity claims provisions on a discounted basis from one non-life line of </w:t>
            </w:r>
            <w:r w:rsidRPr="008004A3">
              <w:rPr>
                <w:rFonts w:ascii="inherit" w:eastAsia="Times New Roman" w:hAnsi="inherit" w:cs="Times New Roman"/>
                <w:color w:val="000000"/>
                <w:sz w:val="24"/>
                <w:szCs w:val="24"/>
                <w:lang w:eastAsia="en-GB"/>
              </w:rPr>
              <w:t>business represents</w:t>
            </w:r>
            <w:r w:rsidRPr="00172BDE">
              <w:rPr>
                <w:rFonts w:ascii="inherit" w:eastAsia="Times New Roman" w:hAnsi="inherit" w:cs="Times New Roman"/>
                <w:color w:val="000000"/>
                <w:sz w:val="24"/>
                <w:szCs w:val="24"/>
                <w:lang w:eastAsia="en-GB"/>
              </w:rPr>
              <w:t xml:space="preserve"> more than 3 % of</w:t>
            </w:r>
            <w:r w:rsidRPr="000A3A8F">
              <w:rPr>
                <w:rFonts w:ascii="inherit" w:eastAsia="Times New Roman" w:hAnsi="inherit" w:cs="Times New Roman"/>
                <w:color w:val="000000"/>
                <w:sz w:val="24"/>
                <w:szCs w:val="24"/>
                <w:lang w:eastAsia="en-GB"/>
              </w:rPr>
              <w:t xml:space="preserve"> the total best estimate for all annuity claims provisions, with the following split:</w:t>
            </w:r>
          </w:p>
          <w:tbl>
            <w:tblPr>
              <w:tblW w:w="5000" w:type="pct"/>
              <w:tblCellMar>
                <w:left w:w="0" w:type="dxa"/>
                <w:right w:w="0" w:type="dxa"/>
              </w:tblCellMar>
              <w:tblLook w:val="04A0" w:firstRow="1" w:lastRow="0" w:firstColumn="1" w:lastColumn="0" w:noHBand="0" w:noVBand="1"/>
            </w:tblPr>
            <w:tblGrid>
              <w:gridCol w:w="545"/>
              <w:gridCol w:w="8201"/>
            </w:tblGrid>
            <w:tr w:rsidR="000A3A8F" w:rsidRPr="000A3A8F" w14:paraId="4A960016" w14:textId="77777777">
              <w:tc>
                <w:tcPr>
                  <w:tcW w:w="0" w:type="auto"/>
                  <w:shd w:val="clear" w:color="auto" w:fill="auto"/>
                  <w:hideMark/>
                </w:tcPr>
                <w:p w14:paraId="6D4BEA6F"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w:t>
                  </w:r>
                  <w:proofErr w:type="spellStart"/>
                  <w:r w:rsidRPr="000A3A8F">
                    <w:rPr>
                      <w:rFonts w:ascii="inherit" w:eastAsia="Times New Roman" w:hAnsi="inherit" w:cs="Times New Roman"/>
                      <w:sz w:val="24"/>
                      <w:szCs w:val="24"/>
                      <w:lang w:eastAsia="en-GB"/>
                    </w:rPr>
                    <w:t>i</w:t>
                  </w:r>
                  <w:proofErr w:type="spellEnd"/>
                  <w:r w:rsidRPr="000A3A8F">
                    <w:rPr>
                      <w:rFonts w:ascii="inherit" w:eastAsia="Times New Roman" w:hAnsi="inherit" w:cs="Times New Roman"/>
                      <w:sz w:val="24"/>
                      <w:szCs w:val="24"/>
                      <w:lang w:eastAsia="en-GB"/>
                    </w:rPr>
                    <w:t>)</w:t>
                  </w:r>
                </w:p>
              </w:tc>
              <w:tc>
                <w:tcPr>
                  <w:tcW w:w="0" w:type="auto"/>
                  <w:shd w:val="clear" w:color="auto" w:fill="auto"/>
                  <w:hideMark/>
                </w:tcPr>
                <w:p w14:paraId="146D9266"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the reporting currency;</w:t>
                  </w:r>
                </w:p>
              </w:tc>
            </w:tr>
          </w:tbl>
          <w:p w14:paraId="778E2C32" w14:textId="77777777" w:rsidR="000A3A8F" w:rsidRPr="000A3A8F" w:rsidRDefault="000A3A8F" w:rsidP="000A3A8F">
            <w:pPr>
              <w:spacing w:after="0" w:line="240" w:lineRule="auto"/>
              <w:rPr>
                <w:rFonts w:ascii="inherit" w:eastAsia="Times New Roman" w:hAnsi="inherit"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4"/>
              <w:gridCol w:w="8452"/>
            </w:tblGrid>
            <w:tr w:rsidR="000A3A8F" w:rsidRPr="000A3A8F" w14:paraId="7C6AE1DD" w14:textId="77777777">
              <w:tc>
                <w:tcPr>
                  <w:tcW w:w="0" w:type="auto"/>
                  <w:shd w:val="clear" w:color="auto" w:fill="auto"/>
                  <w:hideMark/>
                </w:tcPr>
                <w:p w14:paraId="2442830F"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(ii)</w:t>
                  </w:r>
                </w:p>
              </w:tc>
              <w:tc>
                <w:tcPr>
                  <w:tcW w:w="0" w:type="auto"/>
                  <w:shd w:val="clear" w:color="auto" w:fill="auto"/>
                  <w:hideMark/>
                </w:tcPr>
                <w:p w14:paraId="26AAAAE5"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any currency that represents more than 25 % of the best estimate for the annuity claims provisions on a discounted basis in the original currency from that non-life line of business;</w:t>
                  </w:r>
                </w:p>
              </w:tc>
            </w:tr>
          </w:tbl>
          <w:p w14:paraId="2B67D0D9" w14:textId="77777777" w:rsidR="000A3A8F" w:rsidRPr="000A3A8F" w:rsidRDefault="000A3A8F" w:rsidP="000A3A8F">
            <w:pPr>
              <w:spacing w:after="0" w:line="240" w:lineRule="auto"/>
              <w:rPr>
                <w:rFonts w:ascii="inherit" w:eastAsia="Times New Roman" w:hAnsi="inherit"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0"/>
              <w:gridCol w:w="8386"/>
            </w:tblGrid>
            <w:tr w:rsidR="000A3A8F" w:rsidRPr="000A3A8F" w14:paraId="30A71A24" w14:textId="77777777">
              <w:tc>
                <w:tcPr>
                  <w:tcW w:w="0" w:type="auto"/>
                  <w:shd w:val="clear" w:color="auto" w:fill="auto"/>
                  <w:hideMark/>
                </w:tcPr>
                <w:p w14:paraId="48C3EE85"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(iii)</w:t>
                  </w:r>
                </w:p>
              </w:tc>
              <w:tc>
                <w:tcPr>
                  <w:tcW w:w="0" w:type="auto"/>
                  <w:shd w:val="clear" w:color="auto" w:fill="auto"/>
                  <w:hideMark/>
                </w:tcPr>
                <w:p w14:paraId="1FA24E6B"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any currency that represents less than 25 % of the best estimate for the annuity claims provisions (discounted basis) in the original currency from that non-life line of business but more than 5 % of total best estimate for all annuity claims provisions;</w:t>
                  </w:r>
                </w:p>
              </w:tc>
            </w:tr>
          </w:tbl>
          <w:p w14:paraId="15A2A48F" w14:textId="77777777" w:rsidR="000A3A8F" w:rsidRPr="000A3A8F" w:rsidRDefault="000A3A8F" w:rsidP="000A3A8F">
            <w:pPr>
              <w:spacing w:after="0" w:line="240" w:lineRule="auto"/>
              <w:rPr>
                <w:rFonts w:ascii="inherit" w:eastAsia="Times New Roman" w:hAnsi="inherit" w:cs="Times New Roman"/>
                <w:color w:val="000000"/>
                <w:sz w:val="24"/>
                <w:szCs w:val="24"/>
                <w:lang w:eastAsia="en-GB"/>
              </w:rPr>
            </w:pPr>
          </w:p>
        </w:tc>
      </w:tr>
    </w:tbl>
    <w:p w14:paraId="7221B46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FBA12E0" w14:textId="77777777" w:rsidTr="000A3A8F">
        <w:tc>
          <w:tcPr>
            <w:tcW w:w="0" w:type="auto"/>
            <w:shd w:val="clear" w:color="auto" w:fill="FFFFFF"/>
            <w:hideMark/>
          </w:tcPr>
          <w:p w14:paraId="121396B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(h)</w:t>
            </w:r>
          </w:p>
        </w:tc>
        <w:tc>
          <w:tcPr>
            <w:tcW w:w="0" w:type="auto"/>
            <w:shd w:val="clear" w:color="auto" w:fill="FFFFFF"/>
            <w:hideMark/>
          </w:tcPr>
          <w:p w14:paraId="148A7BB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S.17.01.01 of Annex I, specifying information on non-life technical provisions by lines of business as defined in Annex I to Delegated Regulation (EU) 2015/35, following the instructions set out in section S.17.01 of Annex II to this Regulation;</w:t>
            </w:r>
          </w:p>
        </w:tc>
      </w:tr>
    </w:tbl>
    <w:p w14:paraId="4072CF9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571692" w14:paraId="20AEB7E3" w14:textId="77777777" w:rsidTr="000A3A8F">
        <w:tc>
          <w:tcPr>
            <w:tcW w:w="0" w:type="auto"/>
            <w:shd w:val="clear" w:color="auto" w:fill="FFFFFF"/>
            <w:hideMark/>
          </w:tcPr>
          <w:p w14:paraId="0F931194" w14:textId="77777777" w:rsidR="000A3A8F" w:rsidRPr="006E2E86" w:rsidRDefault="000A3A8F" w:rsidP="000A3A8F">
            <w:pPr>
              <w:spacing w:before="120" w:after="0" w:line="240" w:lineRule="auto"/>
              <w:jc w:val="both"/>
              <w:rPr>
                <w:rFonts w:ascii="inherit" w:eastAsia="Times New Roman" w:hAnsi="inherit" w:cs="Times New Roman"/>
                <w:color w:val="000000"/>
                <w:sz w:val="24"/>
                <w:szCs w:val="24"/>
                <w:lang w:eastAsia="en-GB"/>
              </w:rPr>
            </w:pPr>
            <w:r w:rsidRPr="006E2E86">
              <w:rPr>
                <w:rFonts w:ascii="inherit" w:eastAsia="Times New Roman" w:hAnsi="inherit" w:cs="Times New Roman"/>
                <w:color w:val="000000"/>
                <w:sz w:val="24"/>
                <w:szCs w:val="24"/>
                <w:lang w:eastAsia="en-GB"/>
              </w:rPr>
              <w:lastRenderedPageBreak/>
              <w:t>(</w:t>
            </w:r>
            <w:proofErr w:type="spellStart"/>
            <w:r w:rsidRPr="006E2E86">
              <w:rPr>
                <w:rFonts w:ascii="inherit" w:eastAsia="Times New Roman" w:hAnsi="inherit" w:cs="Times New Roman"/>
                <w:color w:val="000000"/>
                <w:sz w:val="24"/>
                <w:szCs w:val="24"/>
                <w:lang w:eastAsia="en-GB"/>
              </w:rPr>
              <w:t>i</w:t>
            </w:r>
            <w:proofErr w:type="spellEnd"/>
            <w:r w:rsidRPr="006E2E86">
              <w:rPr>
                <w:rFonts w:ascii="inherit" w:eastAsia="Times New Roman" w:hAnsi="inherit" w:cs="Times New Roman"/>
                <w:color w:val="000000"/>
                <w:sz w:val="24"/>
                <w:szCs w:val="24"/>
                <w:lang w:eastAsia="en-GB"/>
              </w:rPr>
              <w:t>)</w:t>
            </w:r>
          </w:p>
        </w:tc>
        <w:tc>
          <w:tcPr>
            <w:tcW w:w="0" w:type="auto"/>
            <w:shd w:val="clear" w:color="auto" w:fill="FFFFFF"/>
            <w:hideMark/>
          </w:tcPr>
          <w:p w14:paraId="18160AF3" w14:textId="59AE952E" w:rsidR="000A3A8F" w:rsidRPr="006E2E86" w:rsidRDefault="000A3A8F" w:rsidP="002D12DC">
            <w:pPr>
              <w:spacing w:before="120" w:after="0" w:line="240" w:lineRule="auto"/>
              <w:jc w:val="both"/>
              <w:rPr>
                <w:rFonts w:ascii="inherit" w:eastAsia="Times New Roman" w:hAnsi="inherit" w:cs="Times New Roman"/>
                <w:color w:val="000000"/>
                <w:sz w:val="24"/>
                <w:szCs w:val="24"/>
                <w:lang w:eastAsia="en-GB"/>
              </w:rPr>
            </w:pPr>
            <w:r w:rsidRPr="006E2E86">
              <w:rPr>
                <w:rFonts w:ascii="inherit" w:eastAsia="Times New Roman" w:hAnsi="inherit" w:cs="Times New Roman"/>
                <w:color w:val="000000"/>
                <w:sz w:val="24"/>
                <w:szCs w:val="24"/>
                <w:lang w:eastAsia="en-GB"/>
              </w:rPr>
              <w:t>template S.17.0</w:t>
            </w:r>
            <w:r w:rsidR="002D12DC" w:rsidRPr="006E2E86">
              <w:rPr>
                <w:rFonts w:ascii="inherit" w:eastAsia="Times New Roman" w:hAnsi="inherit" w:cs="Times New Roman"/>
                <w:color w:val="000000"/>
                <w:sz w:val="24"/>
                <w:szCs w:val="24"/>
                <w:lang w:eastAsia="en-GB"/>
              </w:rPr>
              <w:t>3</w:t>
            </w:r>
            <w:r w:rsidRPr="006E2E86">
              <w:rPr>
                <w:rFonts w:ascii="inherit" w:eastAsia="Times New Roman" w:hAnsi="inherit" w:cs="Times New Roman"/>
                <w:color w:val="000000"/>
                <w:sz w:val="24"/>
                <w:szCs w:val="24"/>
                <w:lang w:eastAsia="en-GB"/>
              </w:rPr>
              <w:t xml:space="preserve">.01 of Annex I, specifying information on non-life technical provisions referred to direct insurance business by country, </w:t>
            </w:r>
            <w:r w:rsidR="00573975" w:rsidRPr="006E2E86">
              <w:rPr>
                <w:rFonts w:ascii="inherit" w:eastAsia="Times New Roman" w:hAnsi="inherit" w:cs="Times New Roman"/>
                <w:color w:val="000000"/>
                <w:sz w:val="24"/>
                <w:szCs w:val="24"/>
                <w:lang w:eastAsia="en-GB"/>
              </w:rPr>
              <w:t xml:space="preserve">where the </w:t>
            </w:r>
            <w:r w:rsidR="009D0D05" w:rsidRPr="006E2E86">
              <w:rPr>
                <w:rFonts w:ascii="inherit" w:eastAsia="Times New Roman" w:hAnsi="inherit" w:cs="Times New Roman"/>
                <w:color w:val="000000"/>
                <w:sz w:val="24"/>
                <w:szCs w:val="24"/>
                <w:lang w:eastAsia="en-GB"/>
              </w:rPr>
              <w:t xml:space="preserve">non-life </w:t>
            </w:r>
            <w:r w:rsidR="00573975" w:rsidRPr="006E2E86">
              <w:rPr>
                <w:rFonts w:ascii="inherit" w:eastAsia="Times New Roman" w:hAnsi="inherit" w:cs="Times New Roman"/>
                <w:color w:val="000000"/>
                <w:sz w:val="24"/>
                <w:szCs w:val="24"/>
                <w:lang w:eastAsia="en-GB"/>
              </w:rPr>
              <w:t xml:space="preserve">technical provisions regarding the home country does not represent 100% of the sum of the technical provisions calculated as a whole and gross best estimate, </w:t>
            </w:r>
            <w:r w:rsidRPr="006E2E86">
              <w:rPr>
                <w:rFonts w:ascii="inherit" w:eastAsia="Times New Roman" w:hAnsi="inherit" w:cs="Times New Roman"/>
                <w:color w:val="000000"/>
                <w:sz w:val="24"/>
                <w:szCs w:val="24"/>
                <w:lang w:eastAsia="en-GB"/>
              </w:rPr>
              <w:t>following the instructions set out in section S.17.0</w:t>
            </w:r>
            <w:r w:rsidR="002D12DC" w:rsidRPr="006E2E86">
              <w:rPr>
                <w:rFonts w:ascii="inherit" w:eastAsia="Times New Roman" w:hAnsi="inherit" w:cs="Times New Roman"/>
                <w:color w:val="000000"/>
                <w:sz w:val="24"/>
                <w:szCs w:val="24"/>
                <w:lang w:eastAsia="en-GB"/>
              </w:rPr>
              <w:t>3</w:t>
            </w:r>
            <w:r w:rsidRPr="006E2E86">
              <w:rPr>
                <w:rFonts w:ascii="inherit" w:eastAsia="Times New Roman" w:hAnsi="inherit" w:cs="Times New Roman"/>
                <w:color w:val="000000"/>
                <w:sz w:val="24"/>
                <w:szCs w:val="24"/>
                <w:lang w:eastAsia="en-GB"/>
              </w:rPr>
              <w:t xml:space="preserve"> of Annex II</w:t>
            </w:r>
            <w:r w:rsidR="00EA2781" w:rsidRPr="006E2E86">
              <w:rPr>
                <w:rFonts w:ascii="inherit" w:eastAsia="Times New Roman" w:hAnsi="inherit" w:cs="Times New Roman"/>
                <w:color w:val="000000"/>
                <w:sz w:val="24"/>
                <w:szCs w:val="24"/>
                <w:lang w:eastAsia="en-GB"/>
              </w:rPr>
              <w:t>.</w:t>
            </w:r>
            <w:r w:rsidRPr="006E2E86">
              <w:rPr>
                <w:rFonts w:ascii="inherit" w:eastAsia="Times New Roman" w:hAnsi="inherit" w:cs="Times New Roman"/>
                <w:color w:val="000000"/>
                <w:sz w:val="24"/>
                <w:szCs w:val="24"/>
                <w:lang w:eastAsia="en-GB"/>
              </w:rPr>
              <w:t>;</w:t>
            </w:r>
          </w:p>
        </w:tc>
      </w:tr>
    </w:tbl>
    <w:p w14:paraId="69D14E5D" w14:textId="77777777" w:rsidR="000A3A8F" w:rsidRPr="00571692"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6CD2C85" w14:textId="77777777" w:rsidTr="000A3A8F">
        <w:tc>
          <w:tcPr>
            <w:tcW w:w="0" w:type="auto"/>
            <w:shd w:val="clear" w:color="auto" w:fill="FFFFFF"/>
            <w:hideMark/>
          </w:tcPr>
          <w:p w14:paraId="1DB829E4" w14:textId="77777777" w:rsidR="000A3A8F" w:rsidRPr="00571692" w:rsidRDefault="000A3A8F" w:rsidP="000A3A8F">
            <w:pPr>
              <w:spacing w:before="120" w:after="0" w:line="240" w:lineRule="auto"/>
              <w:jc w:val="both"/>
              <w:rPr>
                <w:rFonts w:ascii="inherit" w:eastAsia="Times New Roman" w:hAnsi="inherit" w:cs="Times New Roman"/>
                <w:color w:val="000000"/>
                <w:sz w:val="24"/>
                <w:szCs w:val="24"/>
                <w:lang w:eastAsia="en-GB"/>
              </w:rPr>
            </w:pPr>
            <w:r w:rsidRPr="00571692">
              <w:rPr>
                <w:rFonts w:ascii="inherit" w:eastAsia="Times New Roman" w:hAnsi="inherit" w:cs="Times New Roman"/>
                <w:color w:val="000000"/>
                <w:sz w:val="24"/>
                <w:szCs w:val="24"/>
                <w:lang w:eastAsia="en-GB"/>
              </w:rPr>
              <w:t>(j)</w:t>
            </w:r>
          </w:p>
        </w:tc>
        <w:tc>
          <w:tcPr>
            <w:tcW w:w="0" w:type="auto"/>
            <w:shd w:val="clear" w:color="auto" w:fill="FFFFFF"/>
            <w:hideMark/>
          </w:tcPr>
          <w:p w14:paraId="3D2BDD14" w14:textId="1722D576" w:rsidR="000A3A8F" w:rsidRPr="000A3A8F" w:rsidRDefault="000A7951" w:rsidP="009D0D05">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u</w:t>
            </w:r>
            <w:r w:rsidR="009D0D05" w:rsidRPr="006E2E86">
              <w:rPr>
                <w:rFonts w:ascii="inherit" w:eastAsia="Times New Roman" w:hAnsi="inherit" w:cs="Times New Roman"/>
                <w:color w:val="000000"/>
                <w:sz w:val="24"/>
                <w:szCs w:val="24"/>
                <w:lang w:eastAsia="en-GB"/>
              </w:rPr>
              <w:t>nless the undertaking uses simplifications for the calculation of technical provisions, for which an estimate of the expected future cash</w:t>
            </w:r>
            <w:r w:rsidR="009D0D05" w:rsidRPr="006E2E86">
              <w:rPr>
                <w:rFonts w:ascii="inherit" w:eastAsia="Times New Roman" w:hAnsi="inherit" w:cs="Times New Roman" w:hint="eastAsia"/>
                <w:color w:val="000000"/>
                <w:sz w:val="24"/>
                <w:szCs w:val="24"/>
                <w:lang w:eastAsia="en-GB"/>
              </w:rPr>
              <w:t>–</w:t>
            </w:r>
            <w:r w:rsidR="009D0D05" w:rsidRPr="006E2E86">
              <w:rPr>
                <w:rFonts w:ascii="inherit" w:eastAsia="Times New Roman" w:hAnsi="inherit" w:cs="Times New Roman"/>
                <w:color w:val="000000"/>
                <w:sz w:val="24"/>
                <w:szCs w:val="24"/>
                <w:lang w:eastAsia="en-GB"/>
              </w:rPr>
              <w:t xml:space="preserve">flows arising from the contracts are not calculated, </w:t>
            </w:r>
            <w:r w:rsidR="000A3A8F" w:rsidRPr="006E2E86">
              <w:rPr>
                <w:rFonts w:ascii="inherit" w:eastAsia="Times New Roman" w:hAnsi="inherit" w:cs="Times New Roman"/>
                <w:color w:val="000000"/>
                <w:sz w:val="24"/>
                <w:szCs w:val="24"/>
                <w:lang w:eastAsia="en-GB"/>
              </w:rPr>
              <w:t xml:space="preserve">template S.18.01.01 of Annex I, specifying information on the projection of future cash flows </w:t>
            </w:r>
            <w:r w:rsidR="000A3A8F" w:rsidRPr="00E966E0">
              <w:rPr>
                <w:rFonts w:ascii="inherit" w:eastAsia="Times New Roman" w:hAnsi="inherit" w:cs="Times New Roman"/>
                <w:sz w:val="24"/>
                <w:szCs w:val="24"/>
                <w:lang w:eastAsia="en-GB"/>
              </w:rPr>
              <w:t xml:space="preserve">based on best estimate of the non-life business, </w:t>
            </w:r>
            <w:r w:rsidR="007F5625" w:rsidRPr="00E966E0">
              <w:rPr>
                <w:rFonts w:ascii="Times New Roman" w:hAnsi="Times New Roman" w:cs="Times New Roman"/>
                <w:sz w:val="24"/>
                <w:szCs w:val="24"/>
              </w:rPr>
              <w:t xml:space="preserve">for the lines of business representing  a coverage of 90% of the sum of the technical provisions calculated as a whole and gross best estimate, </w:t>
            </w:r>
            <w:r w:rsidR="000A3A8F" w:rsidRPr="00E966E0">
              <w:rPr>
                <w:rFonts w:ascii="inherit" w:eastAsia="Times New Roman" w:hAnsi="inherit" w:cs="Times New Roman"/>
                <w:sz w:val="24"/>
                <w:szCs w:val="24"/>
                <w:lang w:eastAsia="en-GB"/>
              </w:rPr>
              <w:t xml:space="preserve">following the instructions </w:t>
            </w:r>
            <w:r w:rsidR="000A3A8F" w:rsidRPr="00021AAB">
              <w:rPr>
                <w:rFonts w:ascii="inherit" w:eastAsia="Times New Roman" w:hAnsi="inherit" w:cs="Times New Roman"/>
                <w:color w:val="000000"/>
                <w:sz w:val="24"/>
                <w:szCs w:val="24"/>
                <w:lang w:eastAsia="en-GB"/>
              </w:rPr>
              <w:t>set out in section S.18.01 of Annex II;</w:t>
            </w:r>
          </w:p>
        </w:tc>
      </w:tr>
    </w:tbl>
    <w:p w14:paraId="1831C58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4C9798C" w14:textId="77777777" w:rsidTr="000A3A8F">
        <w:tc>
          <w:tcPr>
            <w:tcW w:w="0" w:type="auto"/>
            <w:shd w:val="clear" w:color="auto" w:fill="FFFFFF"/>
            <w:hideMark/>
          </w:tcPr>
          <w:p w14:paraId="4872C1E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(k)</w:t>
            </w:r>
          </w:p>
        </w:tc>
        <w:tc>
          <w:tcPr>
            <w:tcW w:w="0" w:type="auto"/>
            <w:shd w:val="clear" w:color="auto" w:fill="FFFFFF"/>
            <w:hideMark/>
          </w:tcPr>
          <w:p w14:paraId="75848A4F" w14:textId="174C19F9"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S.19.01.01 of Annex I, specifying information on non-life insurance claims in the format of development triangles, for the total of each non-life line of business as defined in Annex I to Delegated Regulation (EU) 2015/35</w:t>
            </w:r>
            <w:r w:rsidR="002830A4">
              <w:rPr>
                <w:rFonts w:ascii="inherit" w:eastAsia="Times New Roman" w:hAnsi="inherit" w:cs="Times New Roman"/>
                <w:color w:val="000000"/>
                <w:sz w:val="24"/>
                <w:szCs w:val="24"/>
                <w:lang w:eastAsia="en-GB"/>
              </w:rPr>
              <w:t xml:space="preserve">. For </w:t>
            </w:r>
            <w:r w:rsidR="002830A4">
              <w:rPr>
                <w:rFonts w:ascii="Times New Roman" w:eastAsia="Times New Roman" w:hAnsi="Times New Roman" w:cs="Times New Roman"/>
                <w:color w:val="000000"/>
                <w:sz w:val="24"/>
                <w:szCs w:val="24"/>
                <w:lang w:eastAsia="en-GB"/>
              </w:rPr>
              <w:t>i</w:t>
            </w:r>
            <w:r w:rsidR="002830A4" w:rsidRPr="000A3A8F">
              <w:rPr>
                <w:rFonts w:ascii="Times New Roman" w:eastAsia="Times New Roman" w:hAnsi="Times New Roman" w:cs="Times New Roman"/>
                <w:color w:val="000000"/>
                <w:sz w:val="24"/>
                <w:szCs w:val="24"/>
                <w:lang w:eastAsia="en-GB"/>
              </w:rPr>
              <w:t>nsurance and reinsurance undertakings</w:t>
            </w:r>
            <w:r w:rsidR="002830A4">
              <w:rPr>
                <w:rFonts w:ascii="Times New Roman" w:eastAsia="Times New Roman" w:hAnsi="Times New Roman" w:cs="Times New Roman"/>
                <w:color w:val="000000"/>
                <w:sz w:val="24"/>
                <w:szCs w:val="24"/>
                <w:lang w:eastAsia="en-GB"/>
              </w:rPr>
              <w:t xml:space="preserve"> other than captive insurance or</w:t>
            </w:r>
            <w:r w:rsidR="00E61A82">
              <w:rPr>
                <w:rFonts w:ascii="Times New Roman" w:eastAsia="Times New Roman" w:hAnsi="Times New Roman" w:cs="Times New Roman"/>
                <w:color w:val="000000"/>
                <w:sz w:val="24"/>
                <w:szCs w:val="24"/>
                <w:lang w:eastAsia="en-GB"/>
              </w:rPr>
              <w:t xml:space="preserve"> </w:t>
            </w:r>
            <w:r w:rsidR="000E3ABA">
              <w:rPr>
                <w:rFonts w:ascii="Times New Roman" w:eastAsia="Times New Roman" w:hAnsi="Times New Roman" w:cs="Times New Roman"/>
                <w:color w:val="000000"/>
                <w:sz w:val="24"/>
                <w:szCs w:val="24"/>
                <w:lang w:eastAsia="en-GB"/>
              </w:rPr>
              <w:t xml:space="preserve">captive </w:t>
            </w:r>
            <w:r w:rsidR="002830A4">
              <w:rPr>
                <w:rFonts w:ascii="Times New Roman" w:eastAsia="Times New Roman" w:hAnsi="Times New Roman" w:cs="Times New Roman"/>
                <w:color w:val="000000"/>
                <w:sz w:val="24"/>
                <w:szCs w:val="24"/>
                <w:lang w:eastAsia="en-GB"/>
              </w:rPr>
              <w:t>reinsurance undertaking</w:t>
            </w:r>
            <w:r w:rsidR="000E3ABA">
              <w:rPr>
                <w:rFonts w:ascii="Times New Roman" w:eastAsia="Times New Roman" w:hAnsi="Times New Roman" w:cs="Times New Roman"/>
                <w:color w:val="000000"/>
                <w:sz w:val="24"/>
                <w:szCs w:val="24"/>
                <w:lang w:eastAsia="en-GB"/>
              </w:rPr>
              <w:t>s</w:t>
            </w:r>
            <w:r w:rsidR="002830A4" w:rsidRPr="000A3A8F">
              <w:rPr>
                <w:rFonts w:ascii="inherit" w:eastAsia="Times New Roman" w:hAnsi="inherit" w:cs="Times New Roman"/>
                <w:color w:val="000000"/>
                <w:sz w:val="24"/>
                <w:szCs w:val="24"/>
                <w:lang w:eastAsia="en-GB"/>
              </w:rPr>
              <w:t xml:space="preserve"> </w:t>
            </w:r>
            <w:r w:rsidR="002830A4">
              <w:rPr>
                <w:rFonts w:ascii="inherit" w:eastAsia="Times New Roman" w:hAnsi="inherit" w:cs="Times New Roman"/>
                <w:color w:val="000000"/>
                <w:sz w:val="24"/>
                <w:szCs w:val="24"/>
                <w:lang w:eastAsia="en-GB"/>
              </w:rPr>
              <w:t>information</w:t>
            </w:r>
            <w:r w:rsidRPr="000A3A8F">
              <w:rPr>
                <w:rFonts w:ascii="inherit" w:eastAsia="Times New Roman" w:hAnsi="inherit" w:cs="Times New Roman"/>
                <w:color w:val="000000"/>
                <w:sz w:val="24"/>
                <w:szCs w:val="24"/>
                <w:lang w:eastAsia="en-GB"/>
              </w:rPr>
              <w:t xml:space="preserve"> </w:t>
            </w:r>
            <w:r w:rsidR="001454FA">
              <w:rPr>
                <w:rFonts w:ascii="inherit" w:eastAsia="Times New Roman" w:hAnsi="inherit" w:cs="Times New Roman"/>
                <w:color w:val="000000"/>
                <w:sz w:val="24"/>
                <w:szCs w:val="24"/>
                <w:lang w:eastAsia="en-GB"/>
              </w:rPr>
              <w:t xml:space="preserve">shall </w:t>
            </w:r>
            <w:r w:rsidRPr="000A3A8F">
              <w:rPr>
                <w:rFonts w:ascii="inherit" w:eastAsia="Times New Roman" w:hAnsi="inherit" w:cs="Times New Roman"/>
                <w:color w:val="000000"/>
                <w:sz w:val="24"/>
                <w:szCs w:val="24"/>
                <w:lang w:eastAsia="en-GB"/>
              </w:rPr>
              <w:t xml:space="preserve">additionally </w:t>
            </w:r>
            <w:r w:rsidR="001454FA">
              <w:rPr>
                <w:rFonts w:ascii="inherit" w:eastAsia="Times New Roman" w:hAnsi="inherit" w:cs="Times New Roman"/>
                <w:color w:val="000000"/>
                <w:sz w:val="24"/>
                <w:szCs w:val="24"/>
                <w:lang w:eastAsia="en-GB"/>
              </w:rPr>
              <w:t xml:space="preserve">be reported </w:t>
            </w:r>
            <w:r w:rsidRPr="000A3A8F">
              <w:rPr>
                <w:rFonts w:ascii="inherit" w:eastAsia="Times New Roman" w:hAnsi="inherit" w:cs="Times New Roman"/>
                <w:color w:val="000000"/>
                <w:sz w:val="24"/>
                <w:szCs w:val="24"/>
                <w:lang w:eastAsia="en-GB"/>
              </w:rPr>
              <w:t xml:space="preserve">by currency, following the instructions set out in section S.19.01 of Annex II to this Regulation; the information by currency shall only be reported where the total gross best estimate for one non-life line of </w:t>
            </w:r>
            <w:r w:rsidRPr="007A5CDB">
              <w:rPr>
                <w:rFonts w:ascii="inherit" w:eastAsia="Times New Roman" w:hAnsi="inherit" w:cs="Times New Roman"/>
                <w:color w:val="000000"/>
                <w:sz w:val="24"/>
                <w:szCs w:val="24"/>
                <w:lang w:eastAsia="en-GB"/>
              </w:rPr>
              <w:t xml:space="preserve">business represents more than </w:t>
            </w:r>
            <w:r w:rsidR="00EA2781" w:rsidRPr="007A5CDB">
              <w:rPr>
                <w:rFonts w:ascii="inherit" w:eastAsia="Times New Roman" w:hAnsi="inherit" w:cs="Times New Roman"/>
                <w:color w:val="000000"/>
                <w:sz w:val="24"/>
                <w:szCs w:val="24"/>
                <w:lang w:eastAsia="en-GB"/>
              </w:rPr>
              <w:t>10</w:t>
            </w:r>
            <w:r w:rsidRPr="007A5CDB">
              <w:rPr>
                <w:rFonts w:ascii="inherit" w:eastAsia="Times New Roman" w:hAnsi="inherit" w:cs="Times New Roman"/>
                <w:color w:val="000000"/>
                <w:sz w:val="24"/>
                <w:szCs w:val="24"/>
                <w:lang w:eastAsia="en-GB"/>
              </w:rPr>
              <w:t xml:space="preserve"> % of the total gross best estimate of the claims provision, with the following split:</w:t>
            </w:r>
          </w:p>
          <w:tbl>
            <w:tblPr>
              <w:tblW w:w="5000" w:type="pct"/>
              <w:tblCellMar>
                <w:left w:w="0" w:type="dxa"/>
                <w:right w:w="0" w:type="dxa"/>
              </w:tblCellMar>
              <w:tblLook w:val="04A0" w:firstRow="1" w:lastRow="0" w:firstColumn="1" w:lastColumn="0" w:noHBand="0" w:noVBand="1"/>
            </w:tblPr>
            <w:tblGrid>
              <w:gridCol w:w="4373"/>
              <w:gridCol w:w="4373"/>
            </w:tblGrid>
            <w:tr w:rsidR="000A3A8F" w:rsidRPr="000A3A8F" w14:paraId="61E2622B" w14:textId="77777777">
              <w:tc>
                <w:tcPr>
                  <w:tcW w:w="0" w:type="auto"/>
                  <w:shd w:val="clear" w:color="auto" w:fill="auto"/>
                  <w:hideMark/>
                </w:tcPr>
                <w:p w14:paraId="78BAF407" w14:textId="25CEB953" w:rsidR="000A3A8F" w:rsidRPr="000A3A8F" w:rsidRDefault="000A3A8F" w:rsidP="000A3A8F">
                  <w:pPr>
                    <w:spacing w:before="120" w:after="0" w:line="240" w:lineRule="auto"/>
                    <w:jc w:val="both"/>
                    <w:rPr>
                      <w:rFonts w:ascii="inherit" w:eastAsia="Times New Roman" w:hAnsi="inherit" w:cs="Times New Roman"/>
                      <w:sz w:val="24"/>
                      <w:szCs w:val="24"/>
                      <w:lang w:eastAsia="en-GB"/>
                    </w:rPr>
                  </w:pPr>
                </w:p>
              </w:tc>
              <w:tc>
                <w:tcPr>
                  <w:tcW w:w="0" w:type="auto"/>
                  <w:shd w:val="clear" w:color="auto" w:fill="auto"/>
                  <w:hideMark/>
                </w:tcPr>
                <w:p w14:paraId="3730B026" w14:textId="5D8D30AF" w:rsidR="000A3A8F" w:rsidRPr="000A3A8F" w:rsidRDefault="000A3A8F" w:rsidP="000A3A8F">
                  <w:pPr>
                    <w:spacing w:before="120" w:after="0" w:line="240" w:lineRule="auto"/>
                    <w:jc w:val="both"/>
                    <w:rPr>
                      <w:rFonts w:ascii="inherit" w:eastAsia="Times New Roman" w:hAnsi="inherit" w:cs="Times New Roman"/>
                      <w:sz w:val="24"/>
                      <w:szCs w:val="24"/>
                      <w:lang w:eastAsia="en-GB"/>
                    </w:rPr>
                  </w:pPr>
                </w:p>
              </w:tc>
            </w:tr>
          </w:tbl>
          <w:p w14:paraId="44DCE696" w14:textId="77777777" w:rsidR="000A3A8F" w:rsidRPr="000A3A8F" w:rsidRDefault="000A3A8F" w:rsidP="000A3A8F">
            <w:pPr>
              <w:spacing w:after="0" w:line="240" w:lineRule="auto"/>
              <w:rPr>
                <w:rFonts w:ascii="inherit" w:eastAsia="Times New Roman" w:hAnsi="inherit"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27"/>
              <w:gridCol w:w="8519"/>
            </w:tblGrid>
            <w:tr w:rsidR="000A3A8F" w:rsidRPr="000A3A8F" w14:paraId="1B7C99F3" w14:textId="77777777">
              <w:tc>
                <w:tcPr>
                  <w:tcW w:w="0" w:type="auto"/>
                  <w:shd w:val="clear" w:color="auto" w:fill="auto"/>
                  <w:hideMark/>
                </w:tcPr>
                <w:p w14:paraId="6986CF99" w14:textId="1912D763" w:rsidR="000A3A8F" w:rsidRPr="000A3A8F" w:rsidRDefault="000A7951" w:rsidP="000A3A8F">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proofErr w:type="spellStart"/>
                  <w:r>
                    <w:rPr>
                      <w:rFonts w:ascii="inherit" w:eastAsia="Times New Roman" w:hAnsi="inherit" w:cs="Times New Roman"/>
                      <w:sz w:val="24"/>
                      <w:szCs w:val="24"/>
                      <w:lang w:eastAsia="en-GB"/>
                    </w:rPr>
                    <w:t>i</w:t>
                  </w:r>
                  <w:proofErr w:type="spellEnd"/>
                  <w:r w:rsidR="000A3A8F" w:rsidRPr="000A3A8F">
                    <w:rPr>
                      <w:rFonts w:ascii="inherit" w:eastAsia="Times New Roman" w:hAnsi="inherit" w:cs="Times New Roman"/>
                      <w:sz w:val="24"/>
                      <w:szCs w:val="24"/>
                      <w:lang w:eastAsia="en-GB"/>
                    </w:rPr>
                    <w:t>)</w:t>
                  </w:r>
                </w:p>
              </w:tc>
              <w:tc>
                <w:tcPr>
                  <w:tcW w:w="0" w:type="auto"/>
                  <w:shd w:val="clear" w:color="auto" w:fill="auto"/>
                  <w:hideMark/>
                </w:tcPr>
                <w:p w14:paraId="73D708E1" w14:textId="77777777" w:rsidR="000A3A8F" w:rsidRPr="000A3A8F" w:rsidRDefault="000A3A8F" w:rsidP="000A3A8F">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any currency that represents more than 25 % of the gross best estimate of the claims provisions in the original currency from that non-life line of business;</w:t>
                  </w:r>
                </w:p>
              </w:tc>
            </w:tr>
          </w:tbl>
          <w:p w14:paraId="162ABCA6" w14:textId="77777777" w:rsidR="000A3A8F" w:rsidRPr="000A3A8F" w:rsidRDefault="000A3A8F" w:rsidP="000A3A8F">
            <w:pPr>
              <w:spacing w:after="0" w:line="240" w:lineRule="auto"/>
              <w:rPr>
                <w:rFonts w:ascii="inherit" w:eastAsia="Times New Roman" w:hAnsi="inherit"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4"/>
              <w:gridCol w:w="8452"/>
            </w:tblGrid>
            <w:tr w:rsidR="000A3A8F" w:rsidRPr="000A3A8F" w14:paraId="3515DC23" w14:textId="77777777">
              <w:tc>
                <w:tcPr>
                  <w:tcW w:w="0" w:type="auto"/>
                  <w:shd w:val="clear" w:color="auto" w:fill="auto"/>
                  <w:hideMark/>
                </w:tcPr>
                <w:p w14:paraId="0093D6B8" w14:textId="1168346D" w:rsidR="000A3A8F" w:rsidRPr="000A3A8F" w:rsidRDefault="000A7951" w:rsidP="000A3A8F">
                  <w:pPr>
                    <w:spacing w:before="120" w:after="0" w:line="240" w:lineRule="auto"/>
                    <w:jc w:val="both"/>
                    <w:rPr>
                      <w:rFonts w:ascii="inherit" w:eastAsia="Times New Roman" w:hAnsi="inherit" w:cs="Times New Roman"/>
                      <w:sz w:val="24"/>
                      <w:szCs w:val="24"/>
                      <w:lang w:eastAsia="en-GB"/>
                    </w:rPr>
                  </w:pPr>
                  <w:r>
                    <w:rPr>
                      <w:rFonts w:ascii="inherit" w:eastAsia="Times New Roman" w:hAnsi="inherit" w:cs="Times New Roman"/>
                      <w:sz w:val="24"/>
                      <w:szCs w:val="24"/>
                      <w:lang w:eastAsia="en-GB"/>
                    </w:rPr>
                    <w:t>(</w:t>
                  </w:r>
                  <w:r w:rsidR="000A3A8F" w:rsidRPr="000A3A8F">
                    <w:rPr>
                      <w:rFonts w:ascii="inherit" w:eastAsia="Times New Roman" w:hAnsi="inherit" w:cs="Times New Roman"/>
                      <w:sz w:val="24"/>
                      <w:szCs w:val="24"/>
                      <w:lang w:eastAsia="en-GB"/>
                    </w:rPr>
                    <w:t>ii)</w:t>
                  </w:r>
                </w:p>
              </w:tc>
              <w:tc>
                <w:tcPr>
                  <w:tcW w:w="0" w:type="auto"/>
                  <w:shd w:val="clear" w:color="auto" w:fill="auto"/>
                  <w:hideMark/>
                </w:tcPr>
                <w:p w14:paraId="42A0FCFA" w14:textId="77777777" w:rsidR="00977E30" w:rsidRPr="000A3A8F" w:rsidRDefault="000A3A8F" w:rsidP="009E1444">
                  <w:pPr>
                    <w:spacing w:before="120" w:after="0" w:line="240" w:lineRule="auto"/>
                    <w:jc w:val="both"/>
                    <w:rPr>
                      <w:rFonts w:ascii="inherit" w:eastAsia="Times New Roman" w:hAnsi="inherit" w:cs="Times New Roman"/>
                      <w:sz w:val="24"/>
                      <w:szCs w:val="24"/>
                      <w:lang w:eastAsia="en-GB"/>
                    </w:rPr>
                  </w:pPr>
                  <w:r w:rsidRPr="000A3A8F">
                    <w:rPr>
                      <w:rFonts w:ascii="inherit" w:eastAsia="Times New Roman" w:hAnsi="inherit" w:cs="Times New Roman"/>
                      <w:sz w:val="24"/>
                      <w:szCs w:val="24"/>
                      <w:lang w:eastAsia="en-GB"/>
                    </w:rPr>
                    <w:t>amounts for any currency that represents less than 25 % of the gross best estimate of the claims provisions in the original currency from that non-life line of business but more than 5 % of total gross best estimate of the claims provisions in the original currency;</w:t>
                  </w:r>
                </w:p>
              </w:tc>
            </w:tr>
          </w:tbl>
          <w:p w14:paraId="22AAFD70" w14:textId="77777777" w:rsidR="000A3A8F" w:rsidRPr="000A3A8F" w:rsidRDefault="000A3A8F" w:rsidP="000A3A8F">
            <w:pPr>
              <w:spacing w:after="0" w:line="240" w:lineRule="auto"/>
              <w:rPr>
                <w:rFonts w:ascii="inherit" w:eastAsia="Times New Roman" w:hAnsi="inherit" w:cs="Times New Roman"/>
                <w:color w:val="000000"/>
                <w:sz w:val="24"/>
                <w:szCs w:val="24"/>
                <w:lang w:eastAsia="en-GB"/>
              </w:rPr>
            </w:pPr>
          </w:p>
        </w:tc>
      </w:tr>
    </w:tbl>
    <w:p w14:paraId="1048AAC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27"/>
        <w:gridCol w:w="8799"/>
      </w:tblGrid>
      <w:tr w:rsidR="000A3A8F" w:rsidRPr="000A3A8F" w14:paraId="5598A05A" w14:textId="77777777" w:rsidTr="000A3A8F">
        <w:tc>
          <w:tcPr>
            <w:tcW w:w="0" w:type="auto"/>
            <w:shd w:val="clear" w:color="auto" w:fill="FFFFFF"/>
            <w:hideMark/>
          </w:tcPr>
          <w:p w14:paraId="4ECB7F1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(l)</w:t>
            </w:r>
          </w:p>
        </w:tc>
        <w:tc>
          <w:tcPr>
            <w:tcW w:w="0" w:type="auto"/>
            <w:shd w:val="clear" w:color="auto" w:fill="FFFFFF"/>
            <w:hideMark/>
          </w:tcPr>
          <w:p w14:paraId="6FD83C92" w14:textId="0C919181" w:rsidR="000A3A8F" w:rsidRPr="000A3A8F" w:rsidRDefault="000A3A8F" w:rsidP="00EA278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S.20.01.01 of Annex I, specifying information on the development of the distribution of the claims incurred at the end of the financial year for </w:t>
            </w:r>
            <w:r w:rsidR="00EA2781">
              <w:rPr>
                <w:rFonts w:ascii="inherit" w:eastAsia="Times New Roman" w:hAnsi="inherit" w:cs="Times New Roman"/>
                <w:color w:val="000000"/>
                <w:sz w:val="24"/>
                <w:szCs w:val="24"/>
                <w:lang w:eastAsia="en-GB"/>
              </w:rPr>
              <w:t xml:space="preserve">material </w:t>
            </w:r>
            <w:r w:rsidRPr="000A3A8F">
              <w:rPr>
                <w:rFonts w:ascii="inherit" w:eastAsia="Times New Roman" w:hAnsi="inherit" w:cs="Times New Roman"/>
                <w:color w:val="000000"/>
                <w:sz w:val="24"/>
                <w:szCs w:val="24"/>
                <w:lang w:eastAsia="en-GB"/>
              </w:rPr>
              <w:t>line</w:t>
            </w:r>
            <w:r w:rsidR="00E27E4E">
              <w:rPr>
                <w:rFonts w:ascii="inherit" w:eastAsia="Times New Roman" w:hAnsi="inherit" w:cs="Times New Roman"/>
                <w:color w:val="000000"/>
                <w:sz w:val="24"/>
                <w:szCs w:val="24"/>
                <w:lang w:eastAsia="en-GB"/>
              </w:rPr>
              <w:t>s</w:t>
            </w:r>
            <w:r w:rsidRPr="000A3A8F">
              <w:rPr>
                <w:rFonts w:ascii="inherit" w:eastAsia="Times New Roman" w:hAnsi="inherit" w:cs="Times New Roman"/>
                <w:color w:val="000000"/>
                <w:sz w:val="24"/>
                <w:szCs w:val="24"/>
                <w:lang w:eastAsia="en-GB"/>
              </w:rPr>
              <w:t xml:space="preserve"> of business </w:t>
            </w:r>
            <w:r w:rsidR="00EA2781">
              <w:rPr>
                <w:rFonts w:ascii="inherit" w:eastAsia="Times New Roman" w:hAnsi="inherit" w:cs="Times New Roman"/>
                <w:color w:val="000000"/>
                <w:sz w:val="24"/>
                <w:szCs w:val="24"/>
                <w:lang w:eastAsia="en-GB"/>
              </w:rPr>
              <w:t>r</w:t>
            </w:r>
            <w:r w:rsidR="00EA2781" w:rsidRPr="00EA2781">
              <w:rPr>
                <w:rFonts w:ascii="inherit" w:eastAsia="Times New Roman" w:hAnsi="inherit" w:cs="Times New Roman"/>
                <w:color w:val="000000"/>
                <w:sz w:val="24"/>
                <w:szCs w:val="24"/>
                <w:lang w:eastAsia="en-GB"/>
              </w:rPr>
              <w:t xml:space="preserve">epresenting a coverage of 90% of the </w:t>
            </w:r>
            <w:r w:rsidR="00C04DF8">
              <w:rPr>
                <w:rFonts w:ascii="inherit" w:eastAsia="Times New Roman" w:hAnsi="inherit" w:cs="Times New Roman"/>
                <w:color w:val="000000"/>
                <w:sz w:val="24"/>
                <w:szCs w:val="24"/>
                <w:lang w:eastAsia="en-GB"/>
              </w:rPr>
              <w:t>non-</w:t>
            </w:r>
            <w:r w:rsidR="00EA2781" w:rsidRPr="00EA2781">
              <w:rPr>
                <w:rFonts w:ascii="inherit" w:eastAsia="Times New Roman" w:hAnsi="inherit" w:cs="Times New Roman"/>
                <w:color w:val="000000"/>
                <w:sz w:val="24"/>
                <w:szCs w:val="24"/>
                <w:lang w:eastAsia="en-GB"/>
              </w:rPr>
              <w:t>life technical provisions</w:t>
            </w:r>
            <w:r w:rsidR="00EA2781">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as defined in Annex I to Delegated Regulation (EU) 2015/35, following the instructions set out in section S.20.01 of Annex II to this Regulation;</w:t>
            </w:r>
          </w:p>
        </w:tc>
      </w:tr>
    </w:tbl>
    <w:p w14:paraId="5B4C8B8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347"/>
        <w:gridCol w:w="8679"/>
      </w:tblGrid>
      <w:tr w:rsidR="000A3A8F" w:rsidRPr="000A3A8F" w14:paraId="15A94D0E" w14:textId="77777777" w:rsidTr="000A3A8F">
        <w:tc>
          <w:tcPr>
            <w:tcW w:w="0" w:type="auto"/>
            <w:shd w:val="clear" w:color="auto" w:fill="FFFFFF"/>
            <w:hideMark/>
          </w:tcPr>
          <w:p w14:paraId="2291133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(m)</w:t>
            </w:r>
          </w:p>
        </w:tc>
        <w:tc>
          <w:tcPr>
            <w:tcW w:w="0" w:type="auto"/>
            <w:shd w:val="clear" w:color="auto" w:fill="FFFFFF"/>
            <w:hideMark/>
          </w:tcPr>
          <w:p w14:paraId="329B94D4" w14:textId="4787B2DE" w:rsidR="000A3A8F" w:rsidRPr="000A3A8F" w:rsidRDefault="000A3A8F" w:rsidP="00EA278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S.21.01.01 of Annex I, specifying information on loss distribution risk profile of non-life business for </w:t>
            </w:r>
            <w:r w:rsidR="00EA2781">
              <w:rPr>
                <w:rFonts w:ascii="inherit" w:eastAsia="Times New Roman" w:hAnsi="inherit" w:cs="Times New Roman"/>
                <w:color w:val="000000"/>
                <w:sz w:val="24"/>
                <w:szCs w:val="24"/>
                <w:lang w:eastAsia="en-GB"/>
              </w:rPr>
              <w:t>material</w:t>
            </w:r>
            <w:r w:rsidRPr="000A3A8F">
              <w:rPr>
                <w:rFonts w:ascii="inherit" w:eastAsia="Times New Roman" w:hAnsi="inherit" w:cs="Times New Roman"/>
                <w:color w:val="000000"/>
                <w:sz w:val="24"/>
                <w:szCs w:val="24"/>
                <w:lang w:eastAsia="en-GB"/>
              </w:rPr>
              <w:t xml:space="preserve"> line of business </w:t>
            </w:r>
            <w:r w:rsidR="00EA2781">
              <w:rPr>
                <w:rFonts w:ascii="inherit" w:eastAsia="Times New Roman" w:hAnsi="inherit" w:cs="Times New Roman"/>
                <w:color w:val="000000"/>
                <w:sz w:val="24"/>
                <w:szCs w:val="24"/>
                <w:lang w:eastAsia="en-GB"/>
              </w:rPr>
              <w:t>r</w:t>
            </w:r>
            <w:r w:rsidR="00EA2781" w:rsidRPr="00EA2781">
              <w:rPr>
                <w:rFonts w:ascii="inherit" w:eastAsia="Times New Roman" w:hAnsi="inherit" w:cs="Times New Roman"/>
                <w:color w:val="000000"/>
                <w:sz w:val="24"/>
                <w:szCs w:val="24"/>
                <w:lang w:eastAsia="en-GB"/>
              </w:rPr>
              <w:t xml:space="preserve">epresenting a coverage of 90% of the </w:t>
            </w:r>
            <w:r w:rsidR="00C04DF8">
              <w:rPr>
                <w:rFonts w:ascii="inherit" w:eastAsia="Times New Roman" w:hAnsi="inherit" w:cs="Times New Roman"/>
                <w:color w:val="000000"/>
                <w:sz w:val="24"/>
                <w:szCs w:val="24"/>
                <w:lang w:eastAsia="en-GB"/>
              </w:rPr>
              <w:t>non-</w:t>
            </w:r>
            <w:r w:rsidR="00EA2781" w:rsidRPr="00EA2781">
              <w:rPr>
                <w:rFonts w:ascii="inherit" w:eastAsia="Times New Roman" w:hAnsi="inherit" w:cs="Times New Roman"/>
                <w:color w:val="000000"/>
                <w:sz w:val="24"/>
                <w:szCs w:val="24"/>
                <w:lang w:eastAsia="en-GB"/>
              </w:rPr>
              <w:t>life technical provisions</w:t>
            </w:r>
            <w:r w:rsidR="00EA2781">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as defined in Annex I to Delegated Regulation (EU) 2015/35, following the instructions set out in section S.21.01 of Annex II to this Regulation;</w:t>
            </w:r>
          </w:p>
        </w:tc>
      </w:tr>
    </w:tbl>
    <w:p w14:paraId="1AFDC2D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E6F501D" w14:textId="77777777" w:rsidTr="000A3A8F">
        <w:tc>
          <w:tcPr>
            <w:tcW w:w="0" w:type="auto"/>
            <w:shd w:val="clear" w:color="auto" w:fill="FFFFFF"/>
            <w:hideMark/>
          </w:tcPr>
          <w:p w14:paraId="14297BA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(n)</w:t>
            </w:r>
          </w:p>
        </w:tc>
        <w:tc>
          <w:tcPr>
            <w:tcW w:w="0" w:type="auto"/>
            <w:shd w:val="clear" w:color="auto" w:fill="FFFFFF"/>
            <w:hideMark/>
          </w:tcPr>
          <w:p w14:paraId="167916E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S.21.02.01 of Annex I, specifying information on the non-life underwriting risks, following the instructions set out in section S.21.02 of Annex II;</w:t>
            </w:r>
          </w:p>
        </w:tc>
      </w:tr>
    </w:tbl>
    <w:p w14:paraId="4F613FF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A8480FD" w14:textId="77777777" w:rsidTr="000A3A8F">
        <w:tc>
          <w:tcPr>
            <w:tcW w:w="0" w:type="auto"/>
            <w:shd w:val="clear" w:color="auto" w:fill="FFFFFF"/>
            <w:hideMark/>
          </w:tcPr>
          <w:p w14:paraId="60E032A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(o)</w:t>
            </w:r>
          </w:p>
        </w:tc>
        <w:tc>
          <w:tcPr>
            <w:tcW w:w="0" w:type="auto"/>
            <w:shd w:val="clear" w:color="auto" w:fill="FFFFFF"/>
            <w:hideMark/>
          </w:tcPr>
          <w:p w14:paraId="1D9B596B" w14:textId="77777777" w:rsid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 S.21.03.01 of Annex I, specifying information on non-life underwriting risks by sum insured by </w:t>
            </w:r>
            <w:r w:rsidR="00EA2781">
              <w:rPr>
                <w:rFonts w:ascii="inherit" w:eastAsia="Times New Roman" w:hAnsi="inherit" w:cs="Times New Roman"/>
                <w:color w:val="000000"/>
                <w:sz w:val="24"/>
                <w:szCs w:val="24"/>
                <w:lang w:eastAsia="en-GB"/>
              </w:rPr>
              <w:t xml:space="preserve">material </w:t>
            </w:r>
            <w:r w:rsidRPr="000A3A8F">
              <w:rPr>
                <w:rFonts w:ascii="inherit" w:eastAsia="Times New Roman" w:hAnsi="inherit" w:cs="Times New Roman"/>
                <w:color w:val="000000"/>
                <w:sz w:val="24"/>
                <w:szCs w:val="24"/>
                <w:lang w:eastAsia="en-GB"/>
              </w:rPr>
              <w:t xml:space="preserve">line of business </w:t>
            </w:r>
            <w:r w:rsidR="00EA2781">
              <w:rPr>
                <w:rFonts w:ascii="inherit" w:eastAsia="Times New Roman" w:hAnsi="inherit" w:cs="Times New Roman"/>
                <w:color w:val="000000"/>
                <w:sz w:val="24"/>
                <w:szCs w:val="24"/>
                <w:lang w:eastAsia="en-GB"/>
              </w:rPr>
              <w:t>r</w:t>
            </w:r>
            <w:r w:rsidR="00EA2781" w:rsidRPr="00EA2781">
              <w:rPr>
                <w:rFonts w:ascii="inherit" w:eastAsia="Times New Roman" w:hAnsi="inherit" w:cs="Times New Roman"/>
                <w:color w:val="000000"/>
                <w:sz w:val="24"/>
                <w:szCs w:val="24"/>
                <w:lang w:eastAsia="en-GB"/>
              </w:rPr>
              <w:t xml:space="preserve">epresenting a coverage of 90% of the </w:t>
            </w:r>
            <w:r w:rsidR="00C04DF8">
              <w:rPr>
                <w:rFonts w:ascii="inherit" w:eastAsia="Times New Roman" w:hAnsi="inherit" w:cs="Times New Roman"/>
                <w:color w:val="000000"/>
                <w:sz w:val="24"/>
                <w:szCs w:val="24"/>
                <w:lang w:eastAsia="en-GB"/>
              </w:rPr>
              <w:t>non-</w:t>
            </w:r>
            <w:r w:rsidR="00EA2781" w:rsidRPr="00EA2781">
              <w:rPr>
                <w:rFonts w:ascii="inherit" w:eastAsia="Times New Roman" w:hAnsi="inherit" w:cs="Times New Roman"/>
                <w:color w:val="000000"/>
                <w:sz w:val="24"/>
                <w:szCs w:val="24"/>
                <w:lang w:eastAsia="en-GB"/>
              </w:rPr>
              <w:t>life technical provisions</w:t>
            </w:r>
            <w:r w:rsidR="00EA2781">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as defined in Annex I to Delegated Regulation (EU) 2015/35, following the instructions in S.21.03 of Annex II to this Regulation.</w:t>
            </w:r>
          </w:p>
          <w:p w14:paraId="14054DC0" w14:textId="17D69192" w:rsidR="00A212AA" w:rsidRPr="000A3A8F" w:rsidRDefault="00A212AA" w:rsidP="000A3A8F">
            <w:pPr>
              <w:spacing w:before="120" w:after="0" w:line="240" w:lineRule="auto"/>
              <w:jc w:val="both"/>
              <w:rPr>
                <w:rFonts w:ascii="inherit" w:eastAsia="Times New Roman" w:hAnsi="inherit" w:cs="Times New Roman"/>
                <w:color w:val="000000"/>
                <w:sz w:val="24"/>
                <w:szCs w:val="24"/>
                <w:lang w:eastAsia="en-GB"/>
              </w:rPr>
            </w:pPr>
          </w:p>
        </w:tc>
      </w:tr>
    </w:tbl>
    <w:p w14:paraId="38553344" w14:textId="1F301D4E" w:rsidR="002D32C6" w:rsidRPr="000A3A8F" w:rsidRDefault="002D32C6" w:rsidP="002D32C6">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lastRenderedPageBreak/>
        <w:t>Article 1</w:t>
      </w:r>
      <w:r w:rsidR="00223C43">
        <w:rPr>
          <w:rFonts w:ascii="Times New Roman" w:eastAsia="Times New Roman" w:hAnsi="Times New Roman" w:cs="Times New Roman"/>
          <w:i/>
          <w:iCs/>
          <w:color w:val="000000"/>
          <w:sz w:val="24"/>
          <w:szCs w:val="24"/>
          <w:lang w:eastAsia="en-GB"/>
        </w:rPr>
        <w:t>2</w:t>
      </w:r>
      <w:r w:rsidR="00D51F06">
        <w:rPr>
          <w:rFonts w:ascii="Times New Roman" w:eastAsia="Times New Roman" w:hAnsi="Times New Roman" w:cs="Times New Roman"/>
          <w:i/>
          <w:iCs/>
          <w:color w:val="000000"/>
          <w:sz w:val="24"/>
          <w:szCs w:val="24"/>
          <w:lang w:eastAsia="en-GB"/>
        </w:rPr>
        <w:t>a</w:t>
      </w:r>
    </w:p>
    <w:p w14:paraId="379C8AE0" w14:textId="77777777" w:rsidR="002D32C6" w:rsidRPr="000A3A8F" w:rsidRDefault="002D32C6" w:rsidP="002D32C6">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w:t>
      </w:r>
      <w:r>
        <w:rPr>
          <w:rFonts w:ascii="Times New Roman" w:eastAsia="Times New Roman" w:hAnsi="Times New Roman" w:cs="Times New Roman"/>
          <w:b/>
          <w:bCs/>
          <w:color w:val="000000"/>
          <w:sz w:val="24"/>
          <w:szCs w:val="24"/>
          <w:lang w:eastAsia="en-GB"/>
        </w:rPr>
        <w:t>captive reinsurance undertakings</w:t>
      </w:r>
      <w:r w:rsidRPr="000A3A8F">
        <w:rPr>
          <w:rFonts w:ascii="Times New Roman" w:eastAsia="Times New Roman" w:hAnsi="Times New Roman" w:cs="Times New Roman"/>
          <w:b/>
          <w:bCs/>
          <w:color w:val="000000"/>
          <w:sz w:val="24"/>
          <w:szCs w:val="24"/>
          <w:lang w:eastAsia="en-GB"/>
        </w:rPr>
        <w:t xml:space="preserve"> — Technical provisions information</w:t>
      </w:r>
    </w:p>
    <w:p w14:paraId="0B887EAE" w14:textId="77777777" w:rsidR="002D32C6" w:rsidRPr="000A3A8F" w:rsidRDefault="002D32C6" w:rsidP="002D32C6">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rei</w:t>
      </w:r>
      <w:r w:rsidRPr="000A3A8F">
        <w:rPr>
          <w:rFonts w:ascii="Times New Roman" w:eastAsia="Times New Roman" w:hAnsi="Times New Roman" w:cs="Times New Roman"/>
          <w:color w:val="000000"/>
          <w:sz w:val="24"/>
          <w:szCs w:val="24"/>
          <w:lang w:eastAsia="en-GB"/>
        </w:rPr>
        <w:t>nsurance undertakings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2D32C6" w:rsidRPr="000A3A8F" w14:paraId="36AB2E57" w14:textId="77777777" w:rsidTr="009E3071">
        <w:tc>
          <w:tcPr>
            <w:tcW w:w="0" w:type="auto"/>
            <w:shd w:val="clear" w:color="auto" w:fill="FFFFFF"/>
            <w:hideMark/>
          </w:tcPr>
          <w:p w14:paraId="0E70A1BF" w14:textId="77777777" w:rsidR="002D32C6" w:rsidRPr="000A3A8F" w:rsidRDefault="002D32C6"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1F9C946" w14:textId="77777777" w:rsidR="002D32C6" w:rsidRPr="000A3A8F" w:rsidRDefault="002D32C6"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S.12.01.01 of Annex I, specifying information on life and health SLT technical provisions by line of business as defined in Annex I to Delegated Regulation (EU) 2015/35, following the instructions set out in section S.12.01 of Annex II to this Regulation;</w:t>
            </w:r>
          </w:p>
        </w:tc>
      </w:tr>
    </w:tbl>
    <w:p w14:paraId="601D8403"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675E6112"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2ABEE4A7"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7856B0D5"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30CAD73D"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2D32C6" w:rsidRPr="000A3A8F" w14:paraId="6C7B2BA3" w14:textId="77777777" w:rsidTr="009E3071">
        <w:tc>
          <w:tcPr>
            <w:tcW w:w="0" w:type="auto"/>
            <w:shd w:val="clear" w:color="auto" w:fill="FFFFFF"/>
            <w:hideMark/>
          </w:tcPr>
          <w:p w14:paraId="70AFFC60" w14:textId="3D82B85D" w:rsidR="002D32C6" w:rsidRPr="000A3A8F" w:rsidRDefault="002D32C6" w:rsidP="000A795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t>
            </w:r>
            <w:r w:rsidR="000A7951">
              <w:rPr>
                <w:rFonts w:ascii="inherit" w:eastAsia="Times New Roman" w:hAnsi="inherit" w:cs="Times New Roman"/>
                <w:color w:val="000000"/>
                <w:sz w:val="24"/>
                <w:szCs w:val="24"/>
                <w:lang w:eastAsia="en-GB"/>
              </w:rPr>
              <w:t>b</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2A71D813" w14:textId="77777777" w:rsidR="002D32C6" w:rsidRPr="000A3A8F" w:rsidRDefault="002D32C6" w:rsidP="00853267">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S.19.01.</w:t>
            </w:r>
            <w:r w:rsidR="00AB04FD">
              <w:rPr>
                <w:rFonts w:ascii="inherit" w:eastAsia="Times New Roman" w:hAnsi="inherit" w:cs="Times New Roman"/>
                <w:color w:val="000000"/>
                <w:sz w:val="24"/>
                <w:szCs w:val="24"/>
                <w:lang w:eastAsia="en-GB"/>
              </w:rPr>
              <w:t>2</w:t>
            </w:r>
            <w:r w:rsidRPr="000A3A8F">
              <w:rPr>
                <w:rFonts w:ascii="inherit" w:eastAsia="Times New Roman" w:hAnsi="inherit" w:cs="Times New Roman"/>
                <w:color w:val="000000"/>
                <w:sz w:val="24"/>
                <w:szCs w:val="24"/>
                <w:lang w:eastAsia="en-GB"/>
              </w:rPr>
              <w:t>1 of Annex I, specifying information on non-life insurance claims in the format of development triangles, for the total of each non-life line of business as defined in Annex I to Delegated Regulation (EU) 2015/35</w:t>
            </w:r>
            <w:r>
              <w:rPr>
                <w:rFonts w:ascii="inherit" w:eastAsia="Times New Roman" w:hAnsi="inherit" w:cs="Times New Roman"/>
                <w:color w:val="000000"/>
                <w:sz w:val="24"/>
                <w:szCs w:val="24"/>
                <w:lang w:eastAsia="en-GB"/>
              </w:rPr>
              <w:t xml:space="preserve">. </w:t>
            </w:r>
          </w:p>
        </w:tc>
      </w:tr>
    </w:tbl>
    <w:p w14:paraId="4C460B25"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362658E4" w14:textId="77777777" w:rsidR="002D32C6" w:rsidRPr="000A3A8F" w:rsidRDefault="002D32C6" w:rsidP="002D32C6">
      <w:pPr>
        <w:spacing w:after="0" w:line="240" w:lineRule="auto"/>
        <w:rPr>
          <w:rFonts w:ascii="Times New Roman" w:eastAsia="Times New Roman" w:hAnsi="Times New Roman" w:cs="Times New Roman"/>
          <w:vanish/>
          <w:sz w:val="24"/>
          <w:szCs w:val="24"/>
          <w:lang w:eastAsia="en-GB"/>
        </w:rPr>
      </w:pPr>
    </w:p>
    <w:p w14:paraId="782D037C" w14:textId="03B42F1B"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w:t>
      </w:r>
      <w:r w:rsidR="00223C43">
        <w:rPr>
          <w:rFonts w:ascii="Times New Roman" w:eastAsia="Times New Roman" w:hAnsi="Times New Roman" w:cs="Times New Roman"/>
          <w:i/>
          <w:iCs/>
          <w:color w:val="000000"/>
          <w:sz w:val="24"/>
          <w:szCs w:val="24"/>
          <w:lang w:eastAsia="en-GB"/>
        </w:rPr>
        <w:t>3</w:t>
      </w:r>
    </w:p>
    <w:p w14:paraId="71EB9206" w14:textId="4EE422A0"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1E5A99" w:rsidRPr="001E5A99">
        <w:rPr>
          <w:rFonts w:ascii="Times New Roman" w:eastAsia="Times New Roman" w:hAnsi="Times New Roman" w:cs="Times New Roman"/>
          <w:b/>
          <w:bCs/>
          <w:color w:val="000000"/>
          <w:sz w:val="24"/>
          <w:szCs w:val="24"/>
          <w:lang w:eastAsia="en-GB"/>
        </w:rPr>
        <w:t xml:space="preserve"> </w:t>
      </w:r>
      <w:r w:rsidR="001E5A99">
        <w:rPr>
          <w:rFonts w:ascii="Times New Roman" w:eastAsia="Times New Roman" w:hAnsi="Times New Roman" w:cs="Times New Roman"/>
          <w:b/>
          <w:bCs/>
          <w:color w:val="000000"/>
          <w:sz w:val="24"/>
          <w:szCs w:val="24"/>
          <w:lang w:eastAsia="en-GB"/>
        </w:rPr>
        <w:t>and captive insurance undertakings</w:t>
      </w:r>
      <w:r w:rsidR="001E5A99"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Long-term guarantees information</w:t>
      </w:r>
    </w:p>
    <w:p w14:paraId="754DD242"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A5F08">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DB8D5C3" w14:textId="77777777" w:rsidTr="000A3A8F">
        <w:tc>
          <w:tcPr>
            <w:tcW w:w="0" w:type="auto"/>
            <w:shd w:val="clear" w:color="auto" w:fill="FFFFFF"/>
            <w:hideMark/>
          </w:tcPr>
          <w:p w14:paraId="4588255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30D3BB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S.22.01.01 of Annex I, specifying information on the impact of the long term guarantees and transitional measures, following the instructions set out in section S.22.01 of Annex II;</w:t>
            </w:r>
          </w:p>
        </w:tc>
      </w:tr>
    </w:tbl>
    <w:p w14:paraId="36ED847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CA7054F" w14:textId="77777777" w:rsidTr="000A3A8F">
        <w:tc>
          <w:tcPr>
            <w:tcW w:w="0" w:type="auto"/>
            <w:shd w:val="clear" w:color="auto" w:fill="FFFFFF"/>
            <w:hideMark/>
          </w:tcPr>
          <w:p w14:paraId="50FF8EF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771D5DD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S.22.04.01 of Annex I, specifying information on the interest rate transitional measure, following the instructions set out in section S.22.04 of Annex II;</w:t>
            </w:r>
          </w:p>
        </w:tc>
      </w:tr>
    </w:tbl>
    <w:p w14:paraId="6E8384A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335BBD1" w14:textId="77777777" w:rsidTr="000A3A8F">
        <w:tc>
          <w:tcPr>
            <w:tcW w:w="0" w:type="auto"/>
            <w:shd w:val="clear" w:color="auto" w:fill="FFFFFF"/>
            <w:hideMark/>
          </w:tcPr>
          <w:p w14:paraId="4686175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213B83A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S.22.05.01 of Annex I, specifying information on the transitional measure on technical provisions, following the instructions set out in section S.22.05 of Annex II;</w:t>
            </w:r>
          </w:p>
        </w:tc>
      </w:tr>
    </w:tbl>
    <w:p w14:paraId="3F72EBD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2B83ACB" w14:textId="77777777" w:rsidTr="000A3A8F">
        <w:tc>
          <w:tcPr>
            <w:tcW w:w="0" w:type="auto"/>
            <w:shd w:val="clear" w:color="auto" w:fill="FFFFFF"/>
            <w:hideMark/>
          </w:tcPr>
          <w:p w14:paraId="36CF33D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46046C3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S.22.06.01 of Annex I, specifying information on the best estimate subject to volatility adjustment by country and currency, following the instructions set out in section S.22.06 of Annex II.</w:t>
            </w:r>
          </w:p>
        </w:tc>
      </w:tr>
    </w:tbl>
    <w:p w14:paraId="60B45C27" w14:textId="7D182B14" w:rsidR="00F90D8C" w:rsidRPr="000A3A8F" w:rsidRDefault="00F90D8C" w:rsidP="00F90D8C">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w:t>
      </w:r>
      <w:r w:rsidR="00223C43">
        <w:rPr>
          <w:rFonts w:ascii="Times New Roman" w:eastAsia="Times New Roman" w:hAnsi="Times New Roman" w:cs="Times New Roman"/>
          <w:i/>
          <w:iCs/>
          <w:color w:val="000000"/>
          <w:sz w:val="24"/>
          <w:szCs w:val="24"/>
          <w:lang w:eastAsia="en-GB"/>
        </w:rPr>
        <w:t>3</w:t>
      </w:r>
      <w:r w:rsidR="00D51F06">
        <w:rPr>
          <w:rFonts w:ascii="Times New Roman" w:eastAsia="Times New Roman" w:hAnsi="Times New Roman" w:cs="Times New Roman"/>
          <w:i/>
          <w:iCs/>
          <w:color w:val="000000"/>
          <w:sz w:val="24"/>
          <w:szCs w:val="24"/>
          <w:lang w:eastAsia="en-GB"/>
        </w:rPr>
        <w:t>a</w:t>
      </w:r>
    </w:p>
    <w:p w14:paraId="02403F47" w14:textId="77777777" w:rsidR="00F90D8C" w:rsidRPr="000A3A8F" w:rsidRDefault="00F90D8C" w:rsidP="00F90D8C">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w:t>
      </w:r>
      <w:r>
        <w:rPr>
          <w:rFonts w:ascii="Times New Roman" w:eastAsia="Times New Roman" w:hAnsi="Times New Roman" w:cs="Times New Roman"/>
          <w:b/>
          <w:bCs/>
          <w:color w:val="000000"/>
          <w:sz w:val="24"/>
          <w:szCs w:val="24"/>
          <w:lang w:eastAsia="en-GB"/>
        </w:rPr>
        <w:t>captive reinsurance</w:t>
      </w:r>
      <w:r w:rsidRPr="000A3A8F">
        <w:rPr>
          <w:rFonts w:ascii="Times New Roman" w:eastAsia="Times New Roman" w:hAnsi="Times New Roman" w:cs="Times New Roman"/>
          <w:b/>
          <w:bCs/>
          <w:color w:val="000000"/>
          <w:sz w:val="24"/>
          <w:szCs w:val="24"/>
          <w:lang w:eastAsia="en-GB"/>
        </w:rPr>
        <w:t xml:space="preserve"> undertakings — Long-term guarantees information</w:t>
      </w:r>
    </w:p>
    <w:p w14:paraId="75C84AFA" w14:textId="77777777" w:rsidR="00F90D8C" w:rsidRPr="000A3A8F" w:rsidRDefault="00F90D8C" w:rsidP="007A5F08">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rei</w:t>
      </w:r>
      <w:r w:rsidRPr="000A3A8F">
        <w:rPr>
          <w:rFonts w:ascii="Times New Roman" w:eastAsia="Times New Roman" w:hAnsi="Times New Roman" w:cs="Times New Roman"/>
          <w:color w:val="000000"/>
          <w:sz w:val="24"/>
          <w:szCs w:val="24"/>
          <w:lang w:eastAsia="en-GB"/>
        </w:rPr>
        <w:t>nsurance undertakings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 xml:space="preserve">d) of Delegated Regulation (EU) 2015/35 using </w:t>
      </w:r>
      <w:r w:rsidR="00706002">
        <w:rPr>
          <w:rFonts w:ascii="Times New Roman" w:eastAsia="Times New Roman" w:hAnsi="Times New Roman" w:cs="Times New Roman"/>
          <w:color w:val="000000"/>
          <w:sz w:val="24"/>
          <w:szCs w:val="24"/>
          <w:lang w:eastAsia="en-GB"/>
        </w:rPr>
        <w:t>t</w:t>
      </w:r>
      <w:r w:rsidR="00706002" w:rsidRPr="000A3A8F">
        <w:rPr>
          <w:rFonts w:ascii="inherit" w:eastAsia="Times New Roman" w:hAnsi="inherit" w:cs="Times New Roman"/>
          <w:color w:val="000000"/>
          <w:sz w:val="24"/>
          <w:szCs w:val="24"/>
          <w:lang w:eastAsia="en-GB"/>
        </w:rPr>
        <w:t>emplate S.22.01.01 of Annex I, specifying information on the impact of the long term guarantees and transitional measures, following the instructions set out in section S.22.01 of Annex II</w:t>
      </w:r>
      <w:r w:rsidR="00706002">
        <w:rPr>
          <w:rFonts w:ascii="inherit" w:eastAsia="Times New Roman" w:hAnsi="inherit" w:cs="Times New Roman"/>
          <w:color w:val="000000"/>
          <w:sz w:val="24"/>
          <w:szCs w:val="24"/>
          <w:lang w:eastAsia="en-GB"/>
        </w:rPr>
        <w:t>.</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F90D8C" w:rsidRPr="000A3A8F" w14:paraId="36679C76" w14:textId="77777777" w:rsidTr="009E3071">
        <w:tc>
          <w:tcPr>
            <w:tcW w:w="0" w:type="auto"/>
            <w:shd w:val="clear" w:color="auto" w:fill="FFFFFF"/>
            <w:hideMark/>
          </w:tcPr>
          <w:p w14:paraId="1FF13DE7" w14:textId="77777777" w:rsidR="00F90D8C" w:rsidRPr="000A3A8F" w:rsidRDefault="00F90D8C" w:rsidP="00CF2F4B">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745139B9" w14:textId="77777777" w:rsidR="00F90D8C" w:rsidRDefault="00F90D8C" w:rsidP="00706002">
            <w:pPr>
              <w:spacing w:before="120" w:after="0" w:line="240" w:lineRule="auto"/>
              <w:jc w:val="both"/>
              <w:rPr>
                <w:rFonts w:ascii="inherit" w:eastAsia="Times New Roman" w:hAnsi="inherit" w:cs="Times New Roman"/>
                <w:color w:val="000000"/>
                <w:sz w:val="24"/>
                <w:szCs w:val="24"/>
                <w:lang w:eastAsia="en-GB"/>
              </w:rPr>
            </w:pPr>
          </w:p>
          <w:p w14:paraId="04E092AD" w14:textId="50A8BC6B" w:rsidR="00A212AA" w:rsidRPr="000A3A8F" w:rsidRDefault="00A212AA" w:rsidP="00706002">
            <w:pPr>
              <w:spacing w:before="120" w:after="0" w:line="240" w:lineRule="auto"/>
              <w:jc w:val="both"/>
              <w:rPr>
                <w:rFonts w:ascii="inherit" w:eastAsia="Times New Roman" w:hAnsi="inherit" w:cs="Times New Roman"/>
                <w:color w:val="000000"/>
                <w:sz w:val="24"/>
                <w:szCs w:val="24"/>
                <w:lang w:eastAsia="en-GB"/>
              </w:rPr>
            </w:pPr>
          </w:p>
        </w:tc>
      </w:tr>
    </w:tbl>
    <w:p w14:paraId="3FEA3BC0" w14:textId="77777777" w:rsidR="00F90D8C" w:rsidRPr="000A3A8F" w:rsidRDefault="00F90D8C" w:rsidP="00F90D8C">
      <w:pPr>
        <w:spacing w:after="0" w:line="240" w:lineRule="auto"/>
        <w:rPr>
          <w:rFonts w:ascii="Times New Roman" w:eastAsia="Times New Roman" w:hAnsi="Times New Roman" w:cs="Times New Roman"/>
          <w:vanish/>
          <w:sz w:val="24"/>
          <w:szCs w:val="24"/>
          <w:lang w:eastAsia="en-GB"/>
        </w:rPr>
      </w:pPr>
    </w:p>
    <w:p w14:paraId="18030946" w14:textId="33D8B5B1" w:rsidR="000A3A8F" w:rsidRPr="000A3A8F" w:rsidRDefault="00223C43"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14</w:t>
      </w:r>
    </w:p>
    <w:p w14:paraId="478771B6" w14:textId="1F01B719"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1E5A99">
        <w:rPr>
          <w:rFonts w:ascii="Times New Roman" w:eastAsia="Times New Roman" w:hAnsi="Times New Roman" w:cs="Times New Roman"/>
          <w:b/>
          <w:bCs/>
          <w:color w:val="000000"/>
          <w:sz w:val="24"/>
          <w:szCs w:val="24"/>
          <w:lang w:eastAsia="en-GB"/>
        </w:rPr>
        <w:t xml:space="preserve"> and captive insurance undertakings</w:t>
      </w:r>
      <w:r w:rsidR="001E5A99"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Own funds and participations information</w:t>
      </w:r>
    </w:p>
    <w:p w14:paraId="32221E32"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7A5F08">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42CCC72" w14:textId="77777777" w:rsidTr="000A3A8F">
        <w:tc>
          <w:tcPr>
            <w:tcW w:w="0" w:type="auto"/>
            <w:shd w:val="clear" w:color="auto" w:fill="FFFFFF"/>
            <w:hideMark/>
          </w:tcPr>
          <w:p w14:paraId="61ED3E2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65763DC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S.23.01.01 of Annex I, specifying information on own funds, following the instructions set out in section S.23.01 of Annex II;</w:t>
            </w:r>
          </w:p>
        </w:tc>
      </w:tr>
    </w:tbl>
    <w:p w14:paraId="45ABDA0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770D66A6" w14:textId="77777777" w:rsidTr="000A3A8F">
        <w:tc>
          <w:tcPr>
            <w:tcW w:w="0" w:type="auto"/>
            <w:shd w:val="clear" w:color="auto" w:fill="FFFFFF"/>
            <w:hideMark/>
          </w:tcPr>
          <w:p w14:paraId="6CD8034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36019DB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S.23.02.01 of Annex I, providing detailed information on own funds by tiers, following the instructions set out in section S.23.02 of Annex II;</w:t>
            </w:r>
          </w:p>
        </w:tc>
      </w:tr>
    </w:tbl>
    <w:p w14:paraId="5827EC5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033C59B" w14:textId="77777777" w:rsidTr="000A3A8F">
        <w:tc>
          <w:tcPr>
            <w:tcW w:w="0" w:type="auto"/>
            <w:shd w:val="clear" w:color="auto" w:fill="FFFFFF"/>
            <w:hideMark/>
          </w:tcPr>
          <w:p w14:paraId="0EA266C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074E8BDC" w14:textId="63D26A9E" w:rsidR="000A3A8F" w:rsidRPr="000A3A8F" w:rsidRDefault="000A7951" w:rsidP="00BF0434">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w:t>
            </w:r>
            <w:r w:rsidR="00F87F86">
              <w:rPr>
                <w:rFonts w:ascii="inherit" w:eastAsia="Times New Roman" w:hAnsi="inherit" w:cs="Times New Roman"/>
                <w:color w:val="000000"/>
                <w:sz w:val="24"/>
                <w:szCs w:val="24"/>
                <w:lang w:eastAsia="en-GB"/>
              </w:rPr>
              <w:t>here the o</w:t>
            </w:r>
            <w:r w:rsidR="00F87F86" w:rsidRPr="00CE37CB">
              <w:rPr>
                <w:rFonts w:ascii="inherit" w:eastAsia="Times New Roman" w:hAnsi="inherit" w:cs="Times New Roman"/>
                <w:color w:val="000000"/>
                <w:sz w:val="24"/>
                <w:szCs w:val="24"/>
                <w:lang w:eastAsia="en-GB"/>
              </w:rPr>
              <w:t xml:space="preserve">wn funds </w:t>
            </w:r>
            <w:r w:rsidR="00BF0434" w:rsidRPr="006E2E86">
              <w:rPr>
                <w:rFonts w:ascii="inherit" w:eastAsia="Times New Roman" w:hAnsi="inherit" w:cs="Times New Roman"/>
                <w:color w:val="000000"/>
                <w:sz w:val="24"/>
                <w:szCs w:val="24"/>
                <w:lang w:eastAsia="en-GB"/>
              </w:rPr>
              <w:t xml:space="preserve">amount for any tier change </w:t>
            </w:r>
            <w:r w:rsidR="00F87F86" w:rsidRPr="006E2E86">
              <w:rPr>
                <w:rFonts w:ascii="inherit" w:eastAsia="Times New Roman" w:hAnsi="inherit" w:cs="Times New Roman"/>
                <w:color w:val="000000"/>
                <w:sz w:val="24"/>
                <w:szCs w:val="24"/>
                <w:lang w:eastAsia="en-GB"/>
              </w:rPr>
              <w:t>more than 5% c</w:t>
            </w:r>
            <w:r w:rsidR="00F87F86">
              <w:rPr>
                <w:rFonts w:ascii="inherit" w:eastAsia="Times New Roman" w:hAnsi="inherit" w:cs="Times New Roman"/>
                <w:color w:val="000000"/>
                <w:sz w:val="24"/>
                <w:szCs w:val="24"/>
                <w:lang w:eastAsia="en-GB"/>
              </w:rPr>
              <w:t xml:space="preserve">ompared </w:t>
            </w:r>
            <w:r w:rsidR="00F87F86" w:rsidRPr="00CE37CB">
              <w:rPr>
                <w:rFonts w:ascii="inherit" w:eastAsia="Times New Roman" w:hAnsi="inherit" w:cs="Times New Roman"/>
                <w:color w:val="000000"/>
                <w:sz w:val="24"/>
                <w:szCs w:val="24"/>
                <w:lang w:eastAsia="en-GB"/>
              </w:rPr>
              <w:t>to the previous year</w:t>
            </w:r>
            <w:r w:rsidR="00F87F86">
              <w:rPr>
                <w:rFonts w:ascii="inherit" w:eastAsia="Times New Roman" w:hAnsi="inherit" w:cs="Times New Roman"/>
                <w:color w:val="000000"/>
                <w:sz w:val="24"/>
                <w:szCs w:val="24"/>
                <w:lang w:eastAsia="en-GB"/>
              </w:rPr>
              <w:t xml:space="preserve">, </w:t>
            </w:r>
            <w:r w:rsidR="000A3A8F" w:rsidRPr="000A3A8F">
              <w:rPr>
                <w:rFonts w:ascii="inherit" w:eastAsia="Times New Roman" w:hAnsi="inherit" w:cs="Times New Roman"/>
                <w:color w:val="000000"/>
                <w:sz w:val="24"/>
                <w:szCs w:val="24"/>
                <w:lang w:eastAsia="en-GB"/>
              </w:rPr>
              <w:t>template S.23.03.01 of Annex I, specifying information on annual movements on own funds, following the instructions set out in section S.23.03 of Annex II;</w:t>
            </w:r>
          </w:p>
        </w:tc>
      </w:tr>
    </w:tbl>
    <w:p w14:paraId="0D30C5E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0BD0DF4" w14:textId="77777777" w:rsidTr="000A3A8F">
        <w:tc>
          <w:tcPr>
            <w:tcW w:w="0" w:type="auto"/>
            <w:shd w:val="clear" w:color="auto" w:fill="FFFFFF"/>
            <w:hideMark/>
          </w:tcPr>
          <w:p w14:paraId="23249BF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4E8007EE" w14:textId="7A4ADB38" w:rsidR="000A3A8F" w:rsidRPr="000A3A8F" w:rsidRDefault="000A7951" w:rsidP="00BF0434">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w:t>
            </w:r>
            <w:r w:rsidR="00F87F86">
              <w:rPr>
                <w:rFonts w:ascii="inherit" w:eastAsia="Times New Roman" w:hAnsi="inherit" w:cs="Times New Roman"/>
                <w:color w:val="000000"/>
                <w:sz w:val="24"/>
                <w:szCs w:val="24"/>
                <w:lang w:eastAsia="en-GB"/>
              </w:rPr>
              <w:t>here the o</w:t>
            </w:r>
            <w:r w:rsidR="00F87F86" w:rsidRPr="00CE37CB">
              <w:rPr>
                <w:rFonts w:ascii="inherit" w:eastAsia="Times New Roman" w:hAnsi="inherit" w:cs="Times New Roman"/>
                <w:color w:val="000000"/>
                <w:sz w:val="24"/>
                <w:szCs w:val="24"/>
                <w:lang w:eastAsia="en-GB"/>
              </w:rPr>
              <w:t xml:space="preserve">wn funds </w:t>
            </w:r>
            <w:r w:rsidR="00BF0434" w:rsidRPr="006E2E86">
              <w:rPr>
                <w:rFonts w:ascii="inherit" w:eastAsia="Times New Roman" w:hAnsi="inherit" w:cs="Times New Roman"/>
                <w:color w:val="000000"/>
                <w:sz w:val="24"/>
                <w:szCs w:val="24"/>
                <w:lang w:eastAsia="en-GB"/>
              </w:rPr>
              <w:t xml:space="preserve">amount for any tier </w:t>
            </w:r>
            <w:r w:rsidR="00F87F86" w:rsidRPr="006E2E86">
              <w:rPr>
                <w:rFonts w:ascii="inherit" w:eastAsia="Times New Roman" w:hAnsi="inherit" w:cs="Times New Roman"/>
                <w:color w:val="000000"/>
                <w:sz w:val="24"/>
                <w:szCs w:val="24"/>
                <w:lang w:eastAsia="en-GB"/>
              </w:rPr>
              <w:t>change more than 5%</w:t>
            </w:r>
            <w:r w:rsidR="00F87F86" w:rsidRPr="00CE37CB">
              <w:rPr>
                <w:rFonts w:ascii="inherit" w:eastAsia="Times New Roman" w:hAnsi="inherit" w:cs="Times New Roman"/>
                <w:color w:val="000000"/>
                <w:sz w:val="24"/>
                <w:szCs w:val="24"/>
                <w:lang w:eastAsia="en-GB"/>
              </w:rPr>
              <w:t xml:space="preserve"> </w:t>
            </w:r>
            <w:r w:rsidR="00F87F86">
              <w:rPr>
                <w:rFonts w:ascii="inherit" w:eastAsia="Times New Roman" w:hAnsi="inherit" w:cs="Times New Roman"/>
                <w:color w:val="000000"/>
                <w:sz w:val="24"/>
                <w:szCs w:val="24"/>
                <w:lang w:eastAsia="en-GB"/>
              </w:rPr>
              <w:t xml:space="preserve">compared </w:t>
            </w:r>
            <w:r w:rsidR="00F87F86" w:rsidRPr="00CE37CB">
              <w:rPr>
                <w:rFonts w:ascii="inherit" w:eastAsia="Times New Roman" w:hAnsi="inherit" w:cs="Times New Roman"/>
                <w:color w:val="000000"/>
                <w:sz w:val="24"/>
                <w:szCs w:val="24"/>
                <w:lang w:eastAsia="en-GB"/>
              </w:rPr>
              <w:t>to the previous year</w:t>
            </w:r>
            <w:r w:rsidR="00F87F86">
              <w:rPr>
                <w:rFonts w:ascii="inherit" w:eastAsia="Times New Roman" w:hAnsi="inherit" w:cs="Times New Roman"/>
                <w:color w:val="000000"/>
                <w:sz w:val="24"/>
                <w:szCs w:val="24"/>
                <w:lang w:eastAsia="en-GB"/>
              </w:rPr>
              <w:t xml:space="preserve">,   </w:t>
            </w:r>
            <w:r w:rsidR="000A3A8F" w:rsidRPr="000A3A8F">
              <w:rPr>
                <w:rFonts w:ascii="inherit" w:eastAsia="Times New Roman" w:hAnsi="inherit" w:cs="Times New Roman"/>
                <w:color w:val="000000"/>
                <w:sz w:val="24"/>
                <w:szCs w:val="24"/>
                <w:lang w:eastAsia="en-GB"/>
              </w:rPr>
              <w:t>template S.23.04.01 of Annex I, providing a list of items on own funds, following the instructions set out in section S.23.04 of Annex II;</w:t>
            </w:r>
          </w:p>
        </w:tc>
      </w:tr>
    </w:tbl>
    <w:p w14:paraId="0FCD10F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CA6A2EB" w14:textId="77777777" w:rsidTr="000A3A8F">
        <w:tc>
          <w:tcPr>
            <w:tcW w:w="0" w:type="auto"/>
            <w:shd w:val="clear" w:color="auto" w:fill="FFFFFF"/>
            <w:hideMark/>
          </w:tcPr>
          <w:p w14:paraId="4910F74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2AEC0C7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S.24.01.01 of Annex I, specifying information on participations held by the undertaking and an overview of the calculation for the deduction from own funds related to participations in financial and credit institutions, following the instructions set out in section S.24.01 of Annex II.</w:t>
            </w:r>
          </w:p>
        </w:tc>
      </w:tr>
    </w:tbl>
    <w:p w14:paraId="5FC4F6F9" w14:textId="136DA90D" w:rsidR="00F90D8C" w:rsidRPr="000A3A8F" w:rsidRDefault="00223C43" w:rsidP="00F90D8C">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14</w:t>
      </w:r>
      <w:r w:rsidR="00D51F06">
        <w:rPr>
          <w:rFonts w:ascii="Times New Roman" w:eastAsia="Times New Roman" w:hAnsi="Times New Roman" w:cs="Times New Roman"/>
          <w:i/>
          <w:iCs/>
          <w:color w:val="000000"/>
          <w:sz w:val="24"/>
          <w:szCs w:val="24"/>
          <w:lang w:eastAsia="en-GB"/>
        </w:rPr>
        <w:t>a</w:t>
      </w:r>
    </w:p>
    <w:p w14:paraId="224393FD" w14:textId="77777777" w:rsidR="00F90D8C" w:rsidRPr="000A3A8F" w:rsidRDefault="00F90D8C" w:rsidP="00F90D8C">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w:t>
      </w:r>
      <w:r>
        <w:rPr>
          <w:rFonts w:ascii="Times New Roman" w:eastAsia="Times New Roman" w:hAnsi="Times New Roman" w:cs="Times New Roman"/>
          <w:b/>
          <w:bCs/>
          <w:color w:val="000000"/>
          <w:sz w:val="24"/>
          <w:szCs w:val="24"/>
          <w:lang w:eastAsia="en-GB"/>
        </w:rPr>
        <w:t>captive reinsurance</w:t>
      </w:r>
      <w:r w:rsidRPr="000A3A8F">
        <w:rPr>
          <w:rFonts w:ascii="Times New Roman" w:eastAsia="Times New Roman" w:hAnsi="Times New Roman" w:cs="Times New Roman"/>
          <w:b/>
          <w:bCs/>
          <w:color w:val="000000"/>
          <w:sz w:val="24"/>
          <w:szCs w:val="24"/>
          <w:lang w:eastAsia="en-GB"/>
        </w:rPr>
        <w:t xml:space="preserve"> undertakings — Own funds and participations information</w:t>
      </w:r>
    </w:p>
    <w:p w14:paraId="1591091C" w14:textId="1006ECFE" w:rsidR="00F90D8C" w:rsidRPr="000A3A8F" w:rsidRDefault="00F90D8C" w:rsidP="007A5F08">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t>Captive rei</w:t>
      </w:r>
      <w:r w:rsidRPr="000A3A8F">
        <w:rPr>
          <w:rFonts w:ascii="Times New Roman" w:eastAsia="Times New Roman" w:hAnsi="Times New Roman" w:cs="Times New Roman"/>
          <w:color w:val="000000"/>
          <w:sz w:val="24"/>
          <w:szCs w:val="24"/>
          <w:lang w:eastAsia="en-GB"/>
        </w:rPr>
        <w:t xml:space="preserve">nsurance undertakings shall submit annually the information referred to in Article 304(1)(d) of Delegated Regulation (EU) 2015/35 using </w:t>
      </w:r>
      <w:r w:rsidR="00E46B87">
        <w:rPr>
          <w:rFonts w:ascii="Times New Roman" w:eastAsia="Times New Roman" w:hAnsi="Times New Roman" w:cs="Times New Roman"/>
          <w:color w:val="000000"/>
          <w:sz w:val="24"/>
          <w:szCs w:val="24"/>
          <w:lang w:eastAsia="en-GB"/>
        </w:rPr>
        <w:t>t</w:t>
      </w:r>
      <w:r w:rsidR="00E46B87" w:rsidRPr="000A3A8F">
        <w:rPr>
          <w:rFonts w:ascii="inherit" w:eastAsia="Times New Roman" w:hAnsi="inherit" w:cs="Times New Roman"/>
          <w:color w:val="000000"/>
          <w:sz w:val="24"/>
          <w:szCs w:val="24"/>
          <w:lang w:eastAsia="en-GB"/>
        </w:rPr>
        <w:t>emplate S.23.01.01 of Annex I, specifying information on own funds, following the instructions set out in section S.23.01 of Annex II</w:t>
      </w:r>
      <w:r w:rsidR="00E46B87">
        <w:rPr>
          <w:rFonts w:ascii="inherit" w:eastAsia="Times New Roman" w:hAnsi="inherit" w:cs="Times New Roman"/>
          <w:color w:val="000000"/>
          <w:sz w:val="24"/>
          <w:szCs w:val="24"/>
          <w:lang w:eastAsia="en-GB"/>
        </w:rPr>
        <w:t xml:space="preserve">. </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F90D8C" w:rsidRPr="000A3A8F" w14:paraId="1ED0664F" w14:textId="77777777" w:rsidTr="009E3071">
        <w:tc>
          <w:tcPr>
            <w:tcW w:w="0" w:type="auto"/>
            <w:shd w:val="clear" w:color="auto" w:fill="FFFFFF"/>
            <w:hideMark/>
          </w:tcPr>
          <w:p w14:paraId="7817337C" w14:textId="77777777" w:rsidR="00F90D8C" w:rsidRPr="000A3A8F" w:rsidRDefault="00F90D8C" w:rsidP="00CF2F4B">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2D1F24B8" w14:textId="77777777" w:rsidR="00F90D8C" w:rsidRPr="000A3A8F" w:rsidRDefault="00F90D8C" w:rsidP="00E46B87">
            <w:pPr>
              <w:spacing w:before="120" w:after="0" w:line="240" w:lineRule="auto"/>
              <w:jc w:val="both"/>
              <w:rPr>
                <w:rFonts w:ascii="inherit" w:eastAsia="Times New Roman" w:hAnsi="inherit" w:cs="Times New Roman"/>
                <w:color w:val="000000"/>
                <w:sz w:val="24"/>
                <w:szCs w:val="24"/>
                <w:lang w:eastAsia="en-GB"/>
              </w:rPr>
            </w:pPr>
          </w:p>
        </w:tc>
      </w:tr>
    </w:tbl>
    <w:p w14:paraId="3BF1B8C5" w14:textId="77777777" w:rsidR="00F90D8C" w:rsidRPr="000A3A8F" w:rsidRDefault="00F90D8C" w:rsidP="00F90D8C">
      <w:pPr>
        <w:spacing w:after="0" w:line="240" w:lineRule="auto"/>
        <w:rPr>
          <w:rFonts w:ascii="Times New Roman" w:eastAsia="Times New Roman" w:hAnsi="Times New Roman" w:cs="Times New Roman"/>
          <w:vanish/>
          <w:sz w:val="24"/>
          <w:szCs w:val="24"/>
          <w:lang w:eastAsia="en-GB"/>
        </w:rPr>
      </w:pPr>
    </w:p>
    <w:p w14:paraId="434A2FC3" w14:textId="511365C5" w:rsidR="000A3A8F" w:rsidRPr="000A3A8F" w:rsidRDefault="00223C43"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15</w:t>
      </w:r>
    </w:p>
    <w:p w14:paraId="10172FA6" w14:textId="61B5C612"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4D0626">
        <w:rPr>
          <w:rFonts w:ascii="Times New Roman" w:eastAsia="Times New Roman" w:hAnsi="Times New Roman" w:cs="Times New Roman"/>
          <w:b/>
          <w:bCs/>
          <w:color w:val="000000"/>
          <w:sz w:val="24"/>
          <w:szCs w:val="24"/>
          <w:lang w:eastAsia="en-GB"/>
        </w:rPr>
        <w:t xml:space="preserve"> and captive insurance undertakings</w:t>
      </w:r>
      <w:r w:rsidR="004D0626" w:rsidRPr="000A3A8F">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Solvency Capital Requirement information</w:t>
      </w:r>
    </w:p>
    <w:p w14:paraId="648BA4AE" w14:textId="1CAAE59D" w:rsid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Insurance and reinsurance undertakings</w:t>
      </w:r>
      <w:r w:rsidR="007A5F08">
        <w:rPr>
          <w:rFonts w:ascii="Times New Roman" w:eastAsia="Times New Roman" w:hAnsi="Times New Roman" w:cs="Times New Roman"/>
          <w:color w:val="000000"/>
          <w:sz w:val="24"/>
          <w:szCs w:val="24"/>
          <w:lang w:eastAsia="en-GB"/>
        </w:rPr>
        <w:t xml:space="preserve"> and captive insurance undertakings</w:t>
      </w:r>
      <w:r w:rsidRPr="000A3A8F">
        <w:rPr>
          <w:rFonts w:ascii="Times New Roman" w:eastAsia="Times New Roman" w:hAnsi="Times New Roman" w:cs="Times New Roman"/>
          <w:color w:val="000000"/>
          <w:sz w:val="24"/>
          <w:szCs w:val="24"/>
          <w:lang w:eastAsia="en-GB"/>
        </w:rPr>
        <w:t xml:space="preserve">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p w14:paraId="63376F08" w14:textId="3B2D9C35"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 </w:t>
      </w:r>
      <w:r w:rsidRPr="000A3A8F">
        <w:rPr>
          <w:rFonts w:ascii="inherit" w:eastAsia="Times New Roman" w:hAnsi="inherit" w:cs="Times New Roman"/>
          <w:color w:val="000000"/>
          <w:sz w:val="24"/>
          <w:szCs w:val="24"/>
          <w:lang w:eastAsia="en-GB"/>
        </w:rPr>
        <w:t>where the undertaking uses the standard formula for the calculation of the Solvency Capital Requirement, template S.25.01.01 of Annex I, specifying the Solvency Capital Requirement, following the instructions set out in section S.25.01 of Annex II</w:t>
      </w:r>
      <w:r>
        <w:rPr>
          <w:rFonts w:ascii="inherit" w:eastAsia="Times New Roman" w:hAnsi="inherit" w:cs="Times New Roman"/>
          <w:color w:val="000000"/>
          <w:sz w:val="24"/>
          <w:szCs w:val="24"/>
          <w:lang w:eastAsia="en-GB"/>
        </w:rPr>
        <w:t>;</w:t>
      </w:r>
    </w:p>
    <w:p w14:paraId="5FCE7C1D" w14:textId="4253DF23"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Pr="000A3A8F">
        <w:rPr>
          <w:rFonts w:ascii="inherit" w:eastAsia="Times New Roman" w:hAnsi="inherit" w:cs="Times New Roman"/>
          <w:color w:val="000000"/>
          <w:sz w:val="24"/>
          <w:szCs w:val="24"/>
          <w:lang w:eastAsia="en-GB"/>
        </w:rPr>
        <w:t xml:space="preserve">where the undertaking uses a partial internal model </w:t>
      </w:r>
      <w:r>
        <w:rPr>
          <w:rFonts w:ascii="inherit" w:eastAsia="Times New Roman" w:hAnsi="inherit" w:cs="Times New Roman"/>
          <w:color w:val="000000"/>
          <w:sz w:val="24"/>
          <w:szCs w:val="24"/>
          <w:lang w:eastAsia="en-GB"/>
        </w:rPr>
        <w:t xml:space="preserve">or a full internal model </w:t>
      </w:r>
      <w:r w:rsidRPr="000A3A8F">
        <w:rPr>
          <w:rFonts w:ascii="inherit" w:eastAsia="Times New Roman" w:hAnsi="inherit" w:cs="Times New Roman"/>
          <w:color w:val="000000"/>
          <w:sz w:val="24"/>
          <w:szCs w:val="24"/>
          <w:lang w:eastAsia="en-GB"/>
        </w:rPr>
        <w:t>for the calculation of the Solvency Capital Requirement, template S.25.0</w:t>
      </w:r>
      <w:r>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.01 of Annex I, specifying </w:t>
      </w:r>
      <w:r w:rsidRPr="000A3A8F">
        <w:rPr>
          <w:rFonts w:ascii="inherit" w:eastAsia="Times New Roman" w:hAnsi="inherit" w:cs="Times New Roman"/>
          <w:color w:val="000000"/>
          <w:sz w:val="24"/>
          <w:szCs w:val="24"/>
          <w:lang w:eastAsia="en-GB"/>
        </w:rPr>
        <w:lastRenderedPageBreak/>
        <w:t>the Solvency Capital Requirement, following the instructions set out in section S.25.0</w:t>
      </w:r>
      <w:r>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w:t>
      </w:r>
      <w:r>
        <w:rPr>
          <w:rFonts w:ascii="inherit" w:eastAsia="Times New Roman" w:hAnsi="inherit" w:cs="Times New Roman"/>
          <w:color w:val="000000"/>
          <w:sz w:val="24"/>
          <w:szCs w:val="24"/>
          <w:lang w:eastAsia="en-GB"/>
        </w:rPr>
        <w:t>;</w:t>
      </w:r>
    </w:p>
    <w:p w14:paraId="26A41C74" w14:textId="32BFB4BF"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(c)</w:t>
      </w:r>
      <w:r w:rsidRPr="00075B03">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S.26.01.01 of Annex I, specifying information on market risk, following the instructions set out in section S.26.01 of Annex II</w:t>
      </w:r>
      <w:r>
        <w:rPr>
          <w:rFonts w:ascii="inherit" w:eastAsia="Times New Roman" w:hAnsi="inherit" w:cs="Times New Roman"/>
          <w:color w:val="000000"/>
          <w:sz w:val="24"/>
          <w:szCs w:val="24"/>
          <w:lang w:eastAsia="en-GB"/>
        </w:rPr>
        <w:t>;</w:t>
      </w:r>
    </w:p>
    <w:p w14:paraId="7F85CBFD" w14:textId="758D6297"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(d)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S.26.02.01 of Annex I, specifying information on counterparty default risk, following the instructions set out in section S.26.02 of Annex II</w:t>
      </w:r>
      <w:r>
        <w:rPr>
          <w:rFonts w:ascii="inherit" w:eastAsia="Times New Roman" w:hAnsi="inherit" w:cs="Times New Roman"/>
          <w:color w:val="000000"/>
          <w:sz w:val="24"/>
          <w:szCs w:val="24"/>
          <w:lang w:eastAsia="en-GB"/>
        </w:rPr>
        <w:t>;</w:t>
      </w:r>
    </w:p>
    <w:p w14:paraId="4C0C3942" w14:textId="1421F72B"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075B03">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S.26.03.01 of Annex I, specifying information on life underwriting risk, following the instructions set out in section S.26.03 of Annex II</w:t>
      </w:r>
      <w:r>
        <w:rPr>
          <w:rFonts w:ascii="inherit" w:eastAsia="Times New Roman" w:hAnsi="inherit" w:cs="Times New Roman"/>
          <w:color w:val="000000"/>
          <w:sz w:val="24"/>
          <w:szCs w:val="24"/>
          <w:lang w:eastAsia="en-GB"/>
        </w:rPr>
        <w:t>;</w:t>
      </w:r>
    </w:p>
    <w:p w14:paraId="7613EEC8" w14:textId="41479BE0"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(f)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S.26.04.01 of Annex I, specifying information on health underwriting risk, following the instructions set out in section S.26.04 of Annex II</w:t>
      </w:r>
      <w:r>
        <w:rPr>
          <w:rFonts w:ascii="inherit" w:eastAsia="Times New Roman" w:hAnsi="inherit" w:cs="Times New Roman"/>
          <w:color w:val="000000"/>
          <w:sz w:val="24"/>
          <w:szCs w:val="24"/>
          <w:lang w:eastAsia="en-GB"/>
        </w:rPr>
        <w:t>;</w:t>
      </w:r>
    </w:p>
    <w:p w14:paraId="7333B531" w14:textId="38B67FA2"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(g)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S.26.05.01 of Annex I, specifying information on non-life underwriting risk, following the instructions set out in section S.26.05 of Annex II</w:t>
      </w:r>
      <w:r>
        <w:rPr>
          <w:rFonts w:ascii="inherit" w:eastAsia="Times New Roman" w:hAnsi="inherit" w:cs="Times New Roman"/>
          <w:color w:val="000000"/>
          <w:sz w:val="24"/>
          <w:szCs w:val="24"/>
          <w:lang w:eastAsia="en-GB"/>
        </w:rPr>
        <w:t>;</w:t>
      </w:r>
    </w:p>
    <w:p w14:paraId="4C4B4989" w14:textId="16648FC7"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(h)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S.26.06.01 of Annex I, specifying information on operational risk, following the instructions set out in section S.26.06 of Annex II;</w:t>
      </w:r>
    </w:p>
    <w:p w14:paraId="63EC53AC" w14:textId="1A04AB8C" w:rsidR="00075B03" w:rsidRDefault="00075B03" w:rsidP="00075B03">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t>
      </w: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S.26.07.01 of Annex I, specifying information on the simplifications used in the calculation of the Solvency Capital Requirement, following the instructions set out in section S.26.07 of Annex II;</w:t>
      </w:r>
    </w:p>
    <w:p w14:paraId="4035CED6" w14:textId="37BC3B98" w:rsidR="00075B03" w:rsidRDefault="00075B03" w:rsidP="00075B03">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(j) template S.26.08</w:t>
      </w:r>
      <w:r w:rsidRPr="000A3A8F">
        <w:rPr>
          <w:rFonts w:ascii="inherit" w:eastAsia="Times New Roman" w:hAnsi="inherit" w:cs="Times New Roman"/>
          <w:color w:val="000000"/>
          <w:sz w:val="24"/>
          <w:szCs w:val="24"/>
          <w:lang w:eastAsia="en-GB"/>
        </w:rPr>
        <w:t xml:space="preserve">.01 of Annex I, specifying </w:t>
      </w:r>
      <w:r>
        <w:rPr>
          <w:rFonts w:ascii="inherit" w:eastAsia="Times New Roman" w:hAnsi="inherit" w:cs="Times New Roman"/>
          <w:color w:val="000000"/>
          <w:sz w:val="24"/>
          <w:szCs w:val="24"/>
          <w:lang w:eastAsia="en-GB"/>
        </w:rPr>
        <w:t xml:space="preserve">further </w:t>
      </w:r>
      <w:r w:rsidRPr="000A3A8F">
        <w:rPr>
          <w:rFonts w:ascii="inherit" w:eastAsia="Times New Roman" w:hAnsi="inherit" w:cs="Times New Roman"/>
          <w:color w:val="000000"/>
          <w:sz w:val="24"/>
          <w:szCs w:val="24"/>
          <w:lang w:eastAsia="en-GB"/>
        </w:rPr>
        <w:t>information on</w:t>
      </w:r>
      <w:r>
        <w:rPr>
          <w:rFonts w:ascii="inherit" w:eastAsia="Times New Roman" w:hAnsi="inherit" w:cs="Times New Roman"/>
          <w:color w:val="000000"/>
          <w:sz w:val="24"/>
          <w:szCs w:val="24"/>
          <w:lang w:eastAsia="en-GB"/>
        </w:rPr>
        <w:t xml:space="preserve"> the internal model used for the </w:t>
      </w:r>
      <w:r w:rsidRPr="002B3B20">
        <w:rPr>
          <w:rFonts w:ascii="inherit" w:eastAsia="Times New Roman" w:hAnsi="inherit" w:cs="Times New Roman"/>
          <w:color w:val="000000"/>
          <w:sz w:val="24"/>
          <w:szCs w:val="24"/>
          <w:lang w:eastAsia="en-GB"/>
        </w:rPr>
        <w:t>Solvency Capital Requirement</w:t>
      </w:r>
      <w:r>
        <w:rPr>
          <w:rFonts w:ascii="inherit" w:eastAsia="Times New Roman" w:hAnsi="inherit" w:cs="Times New Roman"/>
          <w:color w:val="000000"/>
          <w:sz w:val="24"/>
          <w:szCs w:val="24"/>
          <w:lang w:eastAsia="en-GB"/>
        </w:rPr>
        <w:t>,</w:t>
      </w:r>
      <w:r w:rsidRPr="002B3B20">
        <w:rPr>
          <w:rFonts w:ascii="inherit" w:eastAsia="Times New Roman" w:hAnsi="inherit" w:cs="Times New Roman"/>
          <w:color w:val="000000"/>
          <w:sz w:val="24"/>
          <w:szCs w:val="24"/>
          <w:lang w:eastAsia="en-GB"/>
        </w:rPr>
        <w:t xml:space="preserve"> for undertakings using </w:t>
      </w:r>
      <w:r w:rsidRPr="000A3A8F">
        <w:rPr>
          <w:rFonts w:ascii="inherit" w:eastAsia="Times New Roman" w:hAnsi="inherit" w:cs="Times New Roman"/>
          <w:color w:val="000000"/>
          <w:sz w:val="24"/>
          <w:szCs w:val="24"/>
          <w:lang w:eastAsia="en-GB"/>
        </w:rPr>
        <w:t xml:space="preserve">a partial internal model </w:t>
      </w:r>
      <w:r>
        <w:rPr>
          <w:rFonts w:ascii="inherit" w:eastAsia="Times New Roman" w:hAnsi="inherit" w:cs="Times New Roman"/>
          <w:color w:val="000000"/>
          <w:sz w:val="24"/>
          <w:szCs w:val="24"/>
          <w:lang w:eastAsia="en-GB"/>
        </w:rPr>
        <w:t>or a full internal model</w:t>
      </w:r>
      <w:r w:rsidRPr="000A3A8F">
        <w:rPr>
          <w:rFonts w:ascii="inherit" w:eastAsia="Times New Roman" w:hAnsi="inherit" w:cs="Times New Roman"/>
          <w:color w:val="000000"/>
          <w:sz w:val="24"/>
          <w:szCs w:val="24"/>
          <w:lang w:eastAsia="en-GB"/>
        </w:rPr>
        <w:t xml:space="preserve">, following the instructions set out in section </w:t>
      </w:r>
      <w:r w:rsidRPr="00891D90">
        <w:rPr>
          <w:rFonts w:ascii="inherit" w:eastAsia="Times New Roman" w:hAnsi="inherit" w:cs="Times New Roman"/>
          <w:color w:val="000000"/>
          <w:sz w:val="24"/>
          <w:szCs w:val="24"/>
          <w:lang w:eastAsia="en-GB"/>
        </w:rPr>
        <w:t>S.</w:t>
      </w:r>
      <w:r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08 of Annex II;</w:t>
      </w:r>
    </w:p>
    <w:p w14:paraId="4B4715AD" w14:textId="0FEA0BC1" w:rsidR="00075B03" w:rsidRDefault="00075B03" w:rsidP="00075B03">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(k) </w:t>
      </w:r>
      <w:proofErr w:type="gramStart"/>
      <w:r w:rsidRPr="00F40A4B">
        <w:rPr>
          <w:rFonts w:ascii="inherit" w:eastAsia="Times New Roman" w:hAnsi="inherit" w:cs="Times New Roman"/>
          <w:color w:val="000000"/>
          <w:sz w:val="24"/>
          <w:szCs w:val="24"/>
          <w:lang w:eastAsia="en-GB"/>
        </w:rPr>
        <w:t>template</w:t>
      </w:r>
      <w:proofErr w:type="gramEnd"/>
      <w:r w:rsidRPr="00F40A4B">
        <w:rPr>
          <w:rFonts w:ascii="inherit" w:eastAsia="Times New Roman" w:hAnsi="inherit" w:cs="Times New Roman"/>
          <w:color w:val="000000"/>
          <w:sz w:val="24"/>
          <w:szCs w:val="24"/>
          <w:lang w:eastAsia="en-GB"/>
        </w:rPr>
        <w:t xml:space="preserve"> S.</w:t>
      </w:r>
      <w:r>
        <w:rPr>
          <w:rFonts w:ascii="inherit" w:eastAsia="Times New Roman" w:hAnsi="inherit" w:cs="Times New Roman"/>
          <w:color w:val="000000"/>
          <w:sz w:val="24"/>
          <w:szCs w:val="24"/>
          <w:lang w:eastAsia="en-GB"/>
        </w:rPr>
        <w:t>26.09.</w:t>
      </w:r>
      <w:r w:rsidRPr="00F40A4B">
        <w:rPr>
          <w:rFonts w:ascii="inherit" w:eastAsia="Times New Roman" w:hAnsi="inherit" w:cs="Times New Roman"/>
          <w:color w:val="000000"/>
          <w:sz w:val="24"/>
          <w:szCs w:val="24"/>
          <w:lang w:eastAsia="en-GB"/>
        </w:rPr>
        <w:t xml:space="preserve">01 of Annex I, specifying information on internal model market </w:t>
      </w:r>
      <w:r>
        <w:rPr>
          <w:rFonts w:ascii="inherit" w:eastAsia="Times New Roman" w:hAnsi="inherit" w:cs="Times New Roman"/>
          <w:color w:val="000000"/>
          <w:sz w:val="24"/>
          <w:szCs w:val="24"/>
          <w:lang w:eastAsia="en-GB"/>
        </w:rPr>
        <w:t>and</w:t>
      </w:r>
      <w:r w:rsidRPr="00F40A4B">
        <w:rPr>
          <w:rFonts w:ascii="inherit" w:eastAsia="Times New Roman" w:hAnsi="inherit" w:cs="Times New Roman"/>
          <w:color w:val="000000"/>
          <w:sz w:val="24"/>
          <w:szCs w:val="24"/>
          <w:lang w:eastAsia="en-GB"/>
        </w:rPr>
        <w:t xml:space="preserve"> credit risk for financial instruments, following the instructions set out in section </w:t>
      </w:r>
      <w:r w:rsidRPr="00891D90">
        <w:rPr>
          <w:rFonts w:ascii="inherit" w:eastAsia="Times New Roman" w:hAnsi="inherit" w:cs="Times New Roman"/>
          <w:color w:val="000000"/>
          <w:sz w:val="24"/>
          <w:szCs w:val="24"/>
          <w:lang w:eastAsia="en-GB"/>
        </w:rPr>
        <w:t>S.</w:t>
      </w:r>
      <w:r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.09</w:t>
      </w:r>
      <w:r w:rsidRPr="00F40A4B">
        <w:rPr>
          <w:rFonts w:ascii="inherit" w:eastAsia="Times New Roman" w:hAnsi="inherit" w:cs="Times New Roman"/>
          <w:color w:val="000000"/>
          <w:sz w:val="24"/>
          <w:szCs w:val="24"/>
          <w:lang w:eastAsia="en-GB"/>
        </w:rPr>
        <w:t xml:space="preserve"> of Annex II;</w:t>
      </w:r>
    </w:p>
    <w:p w14:paraId="20D1A077" w14:textId="25BEBC95" w:rsidR="00075B03" w:rsidRDefault="00075B03" w:rsidP="00075B03">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(l) </w:t>
      </w:r>
      <w:r w:rsidRPr="00F40A4B">
        <w:rPr>
          <w:rFonts w:ascii="inherit" w:eastAsia="Times New Roman" w:hAnsi="inherit" w:cs="Times New Roman"/>
          <w:color w:val="000000"/>
          <w:sz w:val="24"/>
          <w:szCs w:val="24"/>
          <w:lang w:eastAsia="en-GB"/>
        </w:rPr>
        <w:t>template S.</w:t>
      </w:r>
      <w:r>
        <w:rPr>
          <w:rFonts w:ascii="inherit" w:eastAsia="Times New Roman" w:hAnsi="inherit" w:cs="Times New Roman"/>
          <w:color w:val="000000"/>
          <w:sz w:val="24"/>
          <w:szCs w:val="24"/>
          <w:lang w:eastAsia="en-GB"/>
        </w:rPr>
        <w:t>26.10</w:t>
      </w:r>
      <w:r w:rsidRPr="00F40A4B">
        <w:rPr>
          <w:rFonts w:ascii="inherit" w:eastAsia="Times New Roman" w:hAnsi="inherit" w:cs="Times New Roman"/>
          <w:color w:val="000000"/>
          <w:sz w:val="24"/>
          <w:szCs w:val="24"/>
          <w:lang w:eastAsia="en-GB"/>
        </w:rPr>
        <w:t xml:space="preserve">.01 of Annex I, specifying information on internal model portfolio view details </w:t>
      </w:r>
      <w:r>
        <w:rPr>
          <w:rFonts w:ascii="inherit" w:eastAsia="Times New Roman" w:hAnsi="inherit" w:cs="Times New Roman"/>
          <w:color w:val="000000"/>
          <w:sz w:val="24"/>
          <w:szCs w:val="24"/>
          <w:lang w:eastAsia="en-GB"/>
        </w:rPr>
        <w:t xml:space="preserve">of </w:t>
      </w:r>
      <w:r w:rsidRPr="00F40A4B">
        <w:rPr>
          <w:rFonts w:ascii="inherit" w:eastAsia="Times New Roman" w:hAnsi="inherit" w:cs="Times New Roman"/>
          <w:color w:val="000000"/>
          <w:sz w:val="24"/>
          <w:szCs w:val="24"/>
          <w:lang w:eastAsia="en-GB"/>
        </w:rPr>
        <w:t>credit event risk</w:t>
      </w:r>
      <w:r>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 xml:space="preserve"> following the instructions set out in sectio</w:t>
      </w:r>
      <w:r w:rsidRPr="00891D90">
        <w:rPr>
          <w:rFonts w:ascii="inherit" w:eastAsia="Times New Roman" w:hAnsi="inherit" w:cs="Times New Roman"/>
          <w:color w:val="000000"/>
          <w:sz w:val="24"/>
          <w:szCs w:val="24"/>
          <w:lang w:eastAsia="en-GB"/>
        </w:rPr>
        <w:t>n S.</w:t>
      </w:r>
      <w:r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Pr="008004A3">
        <w:rPr>
          <w:rFonts w:ascii="inherit" w:eastAsia="Times New Roman" w:hAnsi="inherit" w:cs="Times New Roman"/>
          <w:color w:val="000000"/>
          <w:sz w:val="24"/>
          <w:szCs w:val="24"/>
          <w:lang w:eastAsia="en-GB"/>
        </w:rPr>
        <w:t>1</w:t>
      </w:r>
      <w:r w:rsidRPr="00891D90">
        <w:rPr>
          <w:rFonts w:ascii="inherit" w:eastAsia="Times New Roman" w:hAnsi="inherit" w:cs="Times New Roman"/>
          <w:color w:val="000000"/>
          <w:sz w:val="24"/>
          <w:szCs w:val="24"/>
          <w:lang w:eastAsia="en-GB"/>
        </w:rPr>
        <w:t>0 of</w:t>
      </w:r>
      <w:r w:rsidRPr="00F40A4B">
        <w:rPr>
          <w:rFonts w:ascii="inherit" w:eastAsia="Times New Roman" w:hAnsi="inherit" w:cs="Times New Roman"/>
          <w:color w:val="000000"/>
          <w:sz w:val="24"/>
          <w:szCs w:val="24"/>
          <w:lang w:eastAsia="en-GB"/>
        </w:rPr>
        <w:t xml:space="preserve"> Annex II;</w:t>
      </w:r>
    </w:p>
    <w:p w14:paraId="2AEC8369" w14:textId="3E4B580D"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(m)</w:t>
      </w:r>
      <w:r w:rsidRPr="00075B03">
        <w:rPr>
          <w:rFonts w:ascii="inherit" w:eastAsia="Times New Roman" w:hAnsi="inherit" w:cs="Times New Roman"/>
          <w:color w:val="000000"/>
          <w:sz w:val="24"/>
          <w:szCs w:val="24"/>
          <w:lang w:eastAsia="en-GB"/>
        </w:rPr>
        <w:t xml:space="preserve"> </w:t>
      </w:r>
      <w:r w:rsidRPr="00F40A4B">
        <w:rPr>
          <w:rFonts w:ascii="inherit" w:eastAsia="Times New Roman" w:hAnsi="inherit" w:cs="Times New Roman"/>
          <w:color w:val="000000"/>
          <w:sz w:val="24"/>
          <w:szCs w:val="24"/>
          <w:lang w:eastAsia="en-GB"/>
        </w:rPr>
        <w:t xml:space="preserve">template </w:t>
      </w:r>
      <w:r>
        <w:rPr>
          <w:rFonts w:ascii="inherit" w:eastAsia="Times New Roman" w:hAnsi="inherit" w:cs="Times New Roman"/>
          <w:color w:val="000000"/>
          <w:sz w:val="24"/>
          <w:szCs w:val="24"/>
          <w:lang w:eastAsia="en-GB"/>
        </w:rPr>
        <w:t>S.26</w:t>
      </w:r>
      <w:r w:rsidRPr="00F40A4B">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11</w:t>
      </w:r>
      <w:r w:rsidRPr="00F40A4B">
        <w:rPr>
          <w:rFonts w:ascii="inherit" w:eastAsia="Times New Roman" w:hAnsi="inherit" w:cs="Times New Roman"/>
          <w:color w:val="000000"/>
          <w:sz w:val="24"/>
          <w:szCs w:val="24"/>
          <w:lang w:eastAsia="en-GB"/>
        </w:rPr>
        <w:t>.01 of Annex I, specifying information on internal model details for financial instruments</w:t>
      </w:r>
      <w:r>
        <w:rPr>
          <w:rFonts w:ascii="inherit" w:eastAsia="Times New Roman" w:hAnsi="inherit" w:cs="Times New Roman"/>
          <w:color w:val="000000"/>
          <w:sz w:val="24"/>
          <w:szCs w:val="24"/>
          <w:lang w:eastAsia="en-GB"/>
        </w:rPr>
        <w:t xml:space="preserve"> of</w:t>
      </w:r>
      <w:r w:rsidRPr="00F40A4B">
        <w:rPr>
          <w:rFonts w:ascii="inherit" w:eastAsia="Times New Roman" w:hAnsi="inherit" w:cs="Times New Roman"/>
          <w:color w:val="000000"/>
          <w:sz w:val="24"/>
          <w:szCs w:val="24"/>
          <w:lang w:eastAsia="en-GB"/>
        </w:rPr>
        <w:t xml:space="preserve"> credit risk, following the instructions set out in secti</w:t>
      </w:r>
      <w:r w:rsidRPr="00891D90">
        <w:rPr>
          <w:rFonts w:ascii="inherit" w:eastAsia="Times New Roman" w:hAnsi="inherit" w:cs="Times New Roman"/>
          <w:color w:val="000000"/>
          <w:sz w:val="24"/>
          <w:szCs w:val="24"/>
          <w:lang w:eastAsia="en-GB"/>
        </w:rPr>
        <w:t>on S.</w:t>
      </w:r>
      <w:r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.11</w:t>
      </w:r>
      <w:r w:rsidRPr="00F40A4B">
        <w:rPr>
          <w:rFonts w:ascii="inherit" w:eastAsia="Times New Roman" w:hAnsi="inherit" w:cs="Times New Roman"/>
          <w:color w:val="000000"/>
          <w:sz w:val="24"/>
          <w:szCs w:val="24"/>
          <w:lang w:eastAsia="en-GB"/>
        </w:rPr>
        <w:t xml:space="preserve"> of Annex II;</w:t>
      </w:r>
    </w:p>
    <w:p w14:paraId="6B7DC5FC" w14:textId="02E4AE9D"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(n) </w:t>
      </w:r>
      <w:proofErr w:type="gramStart"/>
      <w:r w:rsidRPr="00F40A4B">
        <w:rPr>
          <w:rFonts w:ascii="inherit" w:eastAsia="Times New Roman" w:hAnsi="inherit" w:cs="Times New Roman"/>
          <w:color w:val="000000"/>
          <w:sz w:val="24"/>
          <w:szCs w:val="24"/>
          <w:lang w:eastAsia="en-GB"/>
        </w:rPr>
        <w:t>template</w:t>
      </w:r>
      <w:proofErr w:type="gramEnd"/>
      <w:r w:rsidRPr="00F40A4B">
        <w:rPr>
          <w:rFonts w:ascii="inherit" w:eastAsia="Times New Roman" w:hAnsi="inherit" w:cs="Times New Roman"/>
          <w:color w:val="000000"/>
          <w:sz w:val="24"/>
          <w:szCs w:val="24"/>
          <w:lang w:eastAsia="en-GB"/>
        </w:rPr>
        <w:t xml:space="preserve"> S.</w:t>
      </w:r>
      <w:r>
        <w:rPr>
          <w:rFonts w:ascii="inherit" w:eastAsia="Times New Roman" w:hAnsi="inherit" w:cs="Times New Roman"/>
          <w:color w:val="000000"/>
          <w:sz w:val="24"/>
          <w:szCs w:val="24"/>
          <w:lang w:eastAsia="en-GB"/>
        </w:rPr>
        <w:t>26</w:t>
      </w:r>
      <w:r w:rsidRPr="00F40A4B">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12</w:t>
      </w:r>
      <w:r w:rsidRPr="00F40A4B">
        <w:rPr>
          <w:rFonts w:ascii="inherit" w:eastAsia="Times New Roman" w:hAnsi="inherit" w:cs="Times New Roman"/>
          <w:color w:val="000000"/>
          <w:sz w:val="24"/>
          <w:szCs w:val="24"/>
          <w:lang w:eastAsia="en-GB"/>
        </w:rPr>
        <w:t>.01 of Annex I, specifying information on internal model for non-financial instruments</w:t>
      </w:r>
      <w:r>
        <w:rPr>
          <w:rFonts w:ascii="inherit" w:eastAsia="Times New Roman" w:hAnsi="inherit" w:cs="Times New Roman"/>
          <w:color w:val="000000"/>
          <w:sz w:val="24"/>
          <w:szCs w:val="24"/>
          <w:lang w:eastAsia="en-GB"/>
        </w:rPr>
        <w:t xml:space="preserve"> of</w:t>
      </w:r>
      <w:r w:rsidRPr="00F40A4B">
        <w:rPr>
          <w:rFonts w:ascii="inherit" w:eastAsia="Times New Roman" w:hAnsi="inherit" w:cs="Times New Roman"/>
          <w:color w:val="000000"/>
          <w:sz w:val="24"/>
          <w:szCs w:val="24"/>
          <w:lang w:eastAsia="en-GB"/>
        </w:rPr>
        <w:t xml:space="preserve"> credit risk, following the instructions set out in section </w:t>
      </w:r>
      <w:r w:rsidRPr="00891D90">
        <w:rPr>
          <w:rFonts w:ascii="inherit" w:eastAsia="Times New Roman" w:hAnsi="inherit" w:cs="Times New Roman"/>
          <w:color w:val="000000"/>
          <w:sz w:val="24"/>
          <w:szCs w:val="24"/>
          <w:lang w:eastAsia="en-GB"/>
        </w:rPr>
        <w:t>S.</w:t>
      </w:r>
      <w:r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w:t>
      </w:r>
      <w:r w:rsidRPr="008004A3">
        <w:rPr>
          <w:rFonts w:ascii="inherit" w:eastAsia="Times New Roman" w:hAnsi="inherit" w:cs="Times New Roman"/>
          <w:color w:val="000000"/>
          <w:sz w:val="24"/>
          <w:szCs w:val="24"/>
          <w:lang w:eastAsia="en-GB"/>
        </w:rPr>
        <w:t>12</w:t>
      </w:r>
      <w:r w:rsidRPr="00891D90">
        <w:rPr>
          <w:rFonts w:ascii="inherit" w:eastAsia="Times New Roman" w:hAnsi="inherit" w:cs="Times New Roman"/>
          <w:color w:val="000000"/>
          <w:sz w:val="24"/>
          <w:szCs w:val="24"/>
          <w:lang w:eastAsia="en-GB"/>
        </w:rPr>
        <w:t xml:space="preserve"> o</w:t>
      </w:r>
      <w:r w:rsidRPr="00F40A4B">
        <w:rPr>
          <w:rFonts w:ascii="inherit" w:eastAsia="Times New Roman" w:hAnsi="inherit" w:cs="Times New Roman"/>
          <w:color w:val="000000"/>
          <w:sz w:val="24"/>
          <w:szCs w:val="24"/>
          <w:lang w:eastAsia="en-GB"/>
        </w:rPr>
        <w:t>f Annex II;</w:t>
      </w:r>
    </w:p>
    <w:p w14:paraId="1A0B60A1" w14:textId="1F14426A"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(o) </w:t>
      </w:r>
      <w:r w:rsidRPr="00F40A4B">
        <w:rPr>
          <w:rFonts w:ascii="inherit" w:eastAsia="Times New Roman" w:hAnsi="inherit" w:cs="Times New Roman"/>
          <w:color w:val="000000"/>
          <w:sz w:val="24"/>
          <w:szCs w:val="24"/>
          <w:lang w:eastAsia="en-GB"/>
        </w:rPr>
        <w:t>template S.</w:t>
      </w:r>
      <w:r>
        <w:rPr>
          <w:rFonts w:ascii="inherit" w:eastAsia="Times New Roman" w:hAnsi="inherit" w:cs="Times New Roman"/>
          <w:color w:val="000000"/>
          <w:sz w:val="24"/>
          <w:szCs w:val="24"/>
          <w:lang w:eastAsia="en-GB"/>
        </w:rPr>
        <w:t>26.13</w:t>
      </w:r>
      <w:r w:rsidRPr="00F40A4B">
        <w:rPr>
          <w:rFonts w:ascii="inherit" w:eastAsia="Times New Roman" w:hAnsi="inherit" w:cs="Times New Roman"/>
          <w:color w:val="000000"/>
          <w:sz w:val="24"/>
          <w:szCs w:val="24"/>
          <w:lang w:eastAsia="en-GB"/>
        </w:rPr>
        <w:t>.01 of Annex I, specifying information on internal model</w:t>
      </w:r>
      <w:r>
        <w:rPr>
          <w:rFonts w:ascii="inherit" w:eastAsia="Times New Roman" w:hAnsi="inherit" w:cs="Times New Roman"/>
          <w:color w:val="000000"/>
          <w:sz w:val="24"/>
          <w:szCs w:val="24"/>
          <w:lang w:eastAsia="en-GB"/>
        </w:rPr>
        <w:t xml:space="preserve"> </w:t>
      </w:r>
      <w:r w:rsidRPr="00F40A4B">
        <w:rPr>
          <w:rFonts w:ascii="inherit" w:eastAsia="Times New Roman" w:hAnsi="inherit" w:cs="Times New Roman"/>
          <w:color w:val="000000"/>
          <w:sz w:val="24"/>
          <w:szCs w:val="24"/>
          <w:lang w:eastAsia="en-GB"/>
        </w:rPr>
        <w:t xml:space="preserve">non-life </w:t>
      </w:r>
      <w:r>
        <w:rPr>
          <w:rFonts w:ascii="inherit" w:eastAsia="Times New Roman" w:hAnsi="inherit" w:cs="Times New Roman"/>
          <w:color w:val="000000"/>
          <w:sz w:val="24"/>
          <w:szCs w:val="24"/>
          <w:lang w:eastAsia="en-GB"/>
        </w:rPr>
        <w:t xml:space="preserve">and </w:t>
      </w:r>
      <w:r w:rsidRPr="00F40A4B">
        <w:rPr>
          <w:rFonts w:ascii="inherit" w:eastAsia="Times New Roman" w:hAnsi="inherit" w:cs="Times New Roman"/>
          <w:color w:val="000000"/>
          <w:sz w:val="24"/>
          <w:szCs w:val="24"/>
          <w:lang w:eastAsia="en-GB"/>
        </w:rPr>
        <w:t>health NSLT underwriting risk</w:t>
      </w:r>
      <w:r>
        <w:rPr>
          <w:rFonts w:ascii="inherit" w:eastAsia="Times New Roman" w:hAnsi="inherit" w:cs="Times New Roman"/>
          <w:color w:val="000000"/>
          <w:sz w:val="24"/>
          <w:szCs w:val="24"/>
          <w:lang w:eastAsia="en-GB"/>
        </w:rPr>
        <w:t>,</w:t>
      </w:r>
      <w:r w:rsidRPr="00F40A4B">
        <w:rPr>
          <w:rFonts w:ascii="inherit" w:eastAsia="Times New Roman" w:hAnsi="inherit" w:cs="Times New Roman"/>
          <w:color w:val="000000"/>
          <w:sz w:val="24"/>
          <w:szCs w:val="24"/>
          <w:lang w:eastAsia="en-GB"/>
        </w:rPr>
        <w:t xml:space="preserve"> following the instructions set out in section </w:t>
      </w:r>
      <w:r w:rsidRPr="00891D90">
        <w:rPr>
          <w:rFonts w:ascii="inherit" w:eastAsia="Times New Roman" w:hAnsi="inherit" w:cs="Times New Roman"/>
          <w:color w:val="000000"/>
          <w:sz w:val="24"/>
          <w:szCs w:val="24"/>
          <w:lang w:eastAsia="en-GB"/>
        </w:rPr>
        <w:t>S.</w:t>
      </w:r>
      <w:r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.1</w:t>
      </w:r>
      <w:r>
        <w:rPr>
          <w:rFonts w:ascii="inherit" w:eastAsia="Times New Roman" w:hAnsi="inherit" w:cs="Times New Roman"/>
          <w:color w:val="000000"/>
          <w:sz w:val="24"/>
          <w:szCs w:val="24"/>
          <w:lang w:eastAsia="en-GB"/>
        </w:rPr>
        <w:t>3</w:t>
      </w:r>
      <w:r w:rsidRPr="00F40A4B">
        <w:rPr>
          <w:rFonts w:ascii="inherit" w:eastAsia="Times New Roman" w:hAnsi="inherit" w:cs="Times New Roman"/>
          <w:color w:val="000000"/>
          <w:sz w:val="24"/>
          <w:szCs w:val="24"/>
          <w:lang w:eastAsia="en-GB"/>
        </w:rPr>
        <w:t xml:space="preserve"> of Annex II;</w:t>
      </w:r>
    </w:p>
    <w:p w14:paraId="6744A6AF" w14:textId="5C499D24"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(p) </w:t>
      </w:r>
      <w:proofErr w:type="gramStart"/>
      <w:r w:rsidRPr="00F40A4B">
        <w:rPr>
          <w:rFonts w:ascii="inherit" w:eastAsia="Times New Roman" w:hAnsi="inherit" w:cs="Times New Roman"/>
          <w:color w:val="000000"/>
          <w:sz w:val="24"/>
          <w:szCs w:val="24"/>
          <w:lang w:eastAsia="en-GB"/>
        </w:rPr>
        <w:t>template</w:t>
      </w:r>
      <w:proofErr w:type="gramEnd"/>
      <w:r w:rsidRPr="00F40A4B">
        <w:rPr>
          <w:rFonts w:ascii="inherit" w:eastAsia="Times New Roman" w:hAnsi="inherit" w:cs="Times New Roman"/>
          <w:color w:val="000000"/>
          <w:sz w:val="24"/>
          <w:szCs w:val="24"/>
          <w:lang w:eastAsia="en-GB"/>
        </w:rPr>
        <w:t xml:space="preserve"> S.</w:t>
      </w:r>
      <w:r>
        <w:rPr>
          <w:rFonts w:ascii="inherit" w:eastAsia="Times New Roman" w:hAnsi="inherit" w:cs="Times New Roman"/>
          <w:color w:val="000000"/>
          <w:sz w:val="24"/>
          <w:szCs w:val="24"/>
          <w:lang w:eastAsia="en-GB"/>
        </w:rPr>
        <w:t>26.14</w:t>
      </w:r>
      <w:r w:rsidRPr="00F40A4B">
        <w:rPr>
          <w:rFonts w:ascii="inherit" w:eastAsia="Times New Roman" w:hAnsi="inherit" w:cs="Times New Roman"/>
          <w:color w:val="000000"/>
          <w:sz w:val="24"/>
          <w:szCs w:val="24"/>
          <w:lang w:eastAsia="en-GB"/>
        </w:rPr>
        <w:t>.01 of Annex I, specifying information on internal model life and health underwriting risk, following the instructions set out in section S</w:t>
      </w:r>
      <w:r w:rsidRPr="00891D90">
        <w:rPr>
          <w:rFonts w:ascii="inherit" w:eastAsia="Times New Roman" w:hAnsi="inherit" w:cs="Times New Roman"/>
          <w:color w:val="000000"/>
          <w:sz w:val="24"/>
          <w:szCs w:val="24"/>
          <w:lang w:eastAsia="en-GB"/>
        </w:rPr>
        <w:t>.26.14</w:t>
      </w:r>
      <w:r w:rsidRPr="00B34668">
        <w:rPr>
          <w:rFonts w:ascii="inherit" w:eastAsia="Times New Roman" w:hAnsi="inherit" w:cs="Times New Roman"/>
          <w:color w:val="000000"/>
          <w:sz w:val="24"/>
          <w:szCs w:val="24"/>
          <w:lang w:eastAsia="en-GB"/>
        </w:rPr>
        <w:t xml:space="preserve"> of Annex II;</w:t>
      </w:r>
    </w:p>
    <w:p w14:paraId="0F1E5076" w14:textId="36B09F60" w:rsidR="00075B03" w:rsidRDefault="00075B03" w:rsidP="00CF2F4B">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(q)</w:t>
      </w:r>
      <w:r w:rsidRPr="00075B03">
        <w:rPr>
          <w:rFonts w:ascii="inherit" w:eastAsia="Times New Roman" w:hAnsi="inherit" w:cs="Times New Roman"/>
          <w:color w:val="000000"/>
          <w:sz w:val="24"/>
          <w:szCs w:val="24"/>
          <w:lang w:eastAsia="en-GB"/>
        </w:rPr>
        <w:t xml:space="preserve"> </w:t>
      </w:r>
      <w:proofErr w:type="gramStart"/>
      <w:r w:rsidRPr="00891D90">
        <w:rPr>
          <w:rFonts w:ascii="inherit" w:eastAsia="Times New Roman" w:hAnsi="inherit" w:cs="Times New Roman"/>
          <w:color w:val="000000"/>
          <w:sz w:val="24"/>
          <w:szCs w:val="24"/>
          <w:lang w:eastAsia="en-GB"/>
        </w:rPr>
        <w:t>template</w:t>
      </w:r>
      <w:proofErr w:type="gramEnd"/>
      <w:r w:rsidRPr="00891D90">
        <w:rPr>
          <w:rFonts w:ascii="inherit" w:eastAsia="Times New Roman" w:hAnsi="inherit" w:cs="Times New Roman"/>
          <w:color w:val="000000"/>
          <w:sz w:val="24"/>
          <w:szCs w:val="24"/>
          <w:lang w:eastAsia="en-GB"/>
        </w:rPr>
        <w:t xml:space="preserve"> S.</w:t>
      </w:r>
      <w:r w:rsidRPr="00B34668">
        <w:rPr>
          <w:rFonts w:ascii="inherit" w:eastAsia="Times New Roman" w:hAnsi="inherit" w:cs="Times New Roman"/>
          <w:color w:val="000000"/>
          <w:sz w:val="24"/>
          <w:szCs w:val="24"/>
          <w:lang w:eastAsia="en-GB"/>
        </w:rPr>
        <w:t>26.15.01 of Annex I, specifying information on internal model</w:t>
      </w:r>
      <w:r>
        <w:rPr>
          <w:rFonts w:ascii="inherit" w:eastAsia="Times New Roman" w:hAnsi="inherit" w:cs="Times New Roman"/>
          <w:color w:val="000000"/>
          <w:sz w:val="24"/>
          <w:szCs w:val="24"/>
          <w:lang w:eastAsia="en-GB"/>
        </w:rPr>
        <w:t xml:space="preserve"> </w:t>
      </w:r>
      <w:r w:rsidRPr="00B34668">
        <w:rPr>
          <w:rFonts w:ascii="inherit" w:eastAsia="Times New Roman" w:hAnsi="inherit" w:cs="Times New Roman"/>
          <w:color w:val="000000"/>
          <w:sz w:val="24"/>
          <w:szCs w:val="24"/>
          <w:lang w:eastAsia="en-GB"/>
        </w:rPr>
        <w:t>operational risk, following the instructions set out in section S.</w:t>
      </w:r>
      <w:r w:rsidRPr="008004A3">
        <w:rPr>
          <w:rFonts w:ascii="inherit" w:eastAsia="Times New Roman" w:hAnsi="inherit" w:cs="Times New Roman"/>
          <w:color w:val="000000"/>
          <w:sz w:val="24"/>
          <w:szCs w:val="24"/>
          <w:lang w:eastAsia="en-GB"/>
        </w:rPr>
        <w:t>26</w:t>
      </w:r>
      <w:r w:rsidRPr="00891D90">
        <w:rPr>
          <w:rFonts w:ascii="inherit" w:eastAsia="Times New Roman" w:hAnsi="inherit" w:cs="Times New Roman"/>
          <w:color w:val="000000"/>
          <w:sz w:val="24"/>
          <w:szCs w:val="24"/>
          <w:lang w:eastAsia="en-GB"/>
        </w:rPr>
        <w:t>.15 of Annex II;</w:t>
      </w:r>
    </w:p>
    <w:p w14:paraId="30DF09FB" w14:textId="0FBD70A5" w:rsidR="000A7951" w:rsidRPr="000A3A8F" w:rsidRDefault="000A7951"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inherit" w:eastAsia="Times New Roman" w:hAnsi="inherit" w:cs="Times New Roman"/>
          <w:color w:val="000000"/>
          <w:sz w:val="24"/>
          <w:szCs w:val="24"/>
          <w:lang w:eastAsia="en-GB"/>
        </w:rPr>
        <w:t>(r)</w:t>
      </w:r>
      <w:r w:rsidRPr="000A7951">
        <w:rPr>
          <w:rFonts w:ascii="inherit" w:eastAsia="Times New Roman" w:hAnsi="inherit" w:cs="Times New Roman"/>
          <w:color w:val="000000"/>
          <w:sz w:val="24"/>
          <w:szCs w:val="24"/>
          <w:lang w:eastAsia="en-GB"/>
        </w:rPr>
        <w:t xml:space="preserve"> </w:t>
      </w:r>
      <w:proofErr w:type="gramStart"/>
      <w:r w:rsidRPr="00891D90">
        <w:rPr>
          <w:rFonts w:ascii="inherit" w:eastAsia="Times New Roman" w:hAnsi="inherit" w:cs="Times New Roman"/>
          <w:color w:val="000000"/>
          <w:sz w:val="24"/>
          <w:szCs w:val="24"/>
          <w:lang w:eastAsia="en-GB"/>
        </w:rPr>
        <w:t>template</w:t>
      </w:r>
      <w:proofErr w:type="gramEnd"/>
      <w:r w:rsidRPr="00891D90">
        <w:rPr>
          <w:rFonts w:ascii="inherit" w:eastAsia="Times New Roman" w:hAnsi="inherit" w:cs="Times New Roman"/>
          <w:color w:val="000000"/>
          <w:sz w:val="24"/>
          <w:szCs w:val="24"/>
          <w:lang w:eastAsia="en-GB"/>
        </w:rPr>
        <w:t xml:space="preserve"> S.26.16</w:t>
      </w:r>
      <w:r w:rsidRPr="00B34668">
        <w:rPr>
          <w:rFonts w:ascii="inherit" w:eastAsia="Times New Roman" w:hAnsi="inherit" w:cs="Times New Roman"/>
          <w:color w:val="000000"/>
          <w:sz w:val="24"/>
          <w:szCs w:val="24"/>
          <w:lang w:eastAsia="en-GB"/>
        </w:rPr>
        <w:t xml:space="preserve">.01 of Annex I, specifying information on internal model changes,  following the instructions set out in section </w:t>
      </w:r>
      <w:r w:rsidRPr="008004A3">
        <w:rPr>
          <w:rFonts w:ascii="inherit" w:eastAsia="Times New Roman" w:hAnsi="inherit" w:cs="Times New Roman"/>
          <w:color w:val="000000"/>
          <w:sz w:val="24"/>
          <w:szCs w:val="24"/>
          <w:lang w:eastAsia="en-GB"/>
        </w:rPr>
        <w:t>S.26</w:t>
      </w:r>
      <w:r w:rsidRPr="00891D90">
        <w:rPr>
          <w:rFonts w:ascii="inherit" w:eastAsia="Times New Roman" w:hAnsi="inherit" w:cs="Times New Roman"/>
          <w:color w:val="000000"/>
          <w:sz w:val="24"/>
          <w:szCs w:val="24"/>
          <w:lang w:eastAsia="en-GB"/>
        </w:rPr>
        <w:t>.16 of Anne</w:t>
      </w:r>
      <w:r w:rsidRPr="00F40A4B">
        <w:rPr>
          <w:rFonts w:ascii="inherit" w:eastAsia="Times New Roman" w:hAnsi="inherit" w:cs="Times New Roman"/>
          <w:color w:val="000000"/>
          <w:sz w:val="24"/>
          <w:szCs w:val="24"/>
          <w:lang w:eastAsia="en-GB"/>
        </w:rPr>
        <w:t>x II;</w:t>
      </w:r>
    </w:p>
    <w:p w14:paraId="07F645DF"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240E6A2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31E10D0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2AC6B26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54"/>
        <w:gridCol w:w="8772"/>
      </w:tblGrid>
      <w:tr w:rsidR="000A3A8F" w:rsidRPr="000A3A8F" w14:paraId="0419853E" w14:textId="77777777" w:rsidTr="000A3A8F">
        <w:tc>
          <w:tcPr>
            <w:tcW w:w="0" w:type="auto"/>
            <w:shd w:val="clear" w:color="auto" w:fill="FFFFFF"/>
            <w:hideMark/>
          </w:tcPr>
          <w:p w14:paraId="23B7C762" w14:textId="4B5633A2" w:rsidR="000A3A8F" w:rsidRPr="000A3A8F" w:rsidRDefault="000A7951"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(s</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5C68AE87" w14:textId="77777777" w:rsidR="00EA13C4"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S.27.</w:t>
            </w:r>
            <w:r w:rsidR="00827A07">
              <w:rPr>
                <w:rFonts w:ascii="inherit" w:eastAsia="Times New Roman" w:hAnsi="inherit" w:cs="Times New Roman"/>
                <w:color w:val="000000"/>
                <w:sz w:val="24"/>
                <w:szCs w:val="24"/>
                <w:lang w:eastAsia="en-GB"/>
              </w:rPr>
              <w:t>01</w:t>
            </w:r>
            <w:r w:rsidR="00EA13C4">
              <w:rPr>
                <w:rFonts w:ascii="inherit" w:eastAsia="Times New Roman" w:hAnsi="inherit" w:cs="Times New Roman"/>
                <w:color w:val="000000"/>
                <w:sz w:val="24"/>
                <w:szCs w:val="24"/>
                <w:lang w:eastAsia="en-GB"/>
              </w:rPr>
              <w:t xml:space="preserve"> </w:t>
            </w:r>
            <w:r w:rsidR="00EA13C4" w:rsidRPr="000A3A8F">
              <w:rPr>
                <w:rFonts w:ascii="inherit" w:eastAsia="Times New Roman" w:hAnsi="inherit" w:cs="Times New Roman"/>
                <w:color w:val="000000"/>
                <w:sz w:val="24"/>
                <w:szCs w:val="24"/>
                <w:lang w:eastAsia="en-GB"/>
              </w:rPr>
              <w:t>specifying information on non-life catastrophe risk, following the instructions set out in section S.27.01 of Annex II</w:t>
            </w:r>
            <w:r w:rsidR="00EA13C4">
              <w:rPr>
                <w:rFonts w:ascii="inherit" w:eastAsia="Times New Roman" w:hAnsi="inherit" w:cs="Times New Roman"/>
                <w:color w:val="000000"/>
                <w:sz w:val="24"/>
                <w:szCs w:val="24"/>
                <w:lang w:eastAsia="en-GB"/>
              </w:rPr>
              <w:t xml:space="preserve"> as follows: </w:t>
            </w:r>
          </w:p>
          <w:p w14:paraId="36FC462A" w14:textId="09CEEC49" w:rsidR="00211FD6" w:rsidRDefault="00EA13C4" w:rsidP="000A3A8F">
            <w:pPr>
              <w:spacing w:before="120" w:after="0" w:line="240" w:lineRule="auto"/>
              <w:jc w:val="both"/>
              <w:rPr>
                <w:rFonts w:ascii="inherit" w:eastAsia="Times New Roman" w:hAnsi="inherit" w:cs="Times New Roman"/>
                <w:color w:val="000000"/>
                <w:sz w:val="24"/>
                <w:szCs w:val="24"/>
                <w:lang w:eastAsia="en-GB"/>
              </w:rPr>
            </w:pP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for </w:t>
            </w:r>
            <w:r>
              <w:rPr>
                <w:rFonts w:ascii="Times New Roman" w:eastAsia="Times New Roman" w:hAnsi="Times New Roman" w:cs="Times New Roman"/>
                <w:color w:val="000000"/>
                <w:sz w:val="24"/>
                <w:szCs w:val="24"/>
                <w:lang w:eastAsia="en-GB"/>
              </w:rPr>
              <w:t>i</w:t>
            </w:r>
            <w:r w:rsidRPr="000A3A8F">
              <w:rPr>
                <w:rFonts w:ascii="Times New Roman" w:eastAsia="Times New Roman" w:hAnsi="Times New Roman" w:cs="Times New Roman"/>
                <w:color w:val="000000"/>
                <w:sz w:val="24"/>
                <w:szCs w:val="24"/>
                <w:lang w:eastAsia="en-GB"/>
              </w:rPr>
              <w:t>nsurance and reinsurance undertakings</w:t>
            </w:r>
            <w:r>
              <w:rPr>
                <w:rFonts w:ascii="Times New Roman" w:eastAsia="Times New Roman" w:hAnsi="Times New Roman" w:cs="Times New Roman"/>
                <w:color w:val="000000"/>
                <w:sz w:val="24"/>
                <w:szCs w:val="24"/>
                <w:lang w:eastAsia="en-GB"/>
              </w:rPr>
              <w:t xml:space="preserve"> other than captive insurance or </w:t>
            </w:r>
            <w:r w:rsidR="00D92DC2">
              <w:rPr>
                <w:rFonts w:ascii="Times New Roman" w:eastAsia="Times New Roman" w:hAnsi="Times New Roman" w:cs="Times New Roman"/>
                <w:color w:val="000000"/>
                <w:sz w:val="24"/>
                <w:szCs w:val="24"/>
                <w:lang w:eastAsia="en-GB"/>
              </w:rPr>
              <w:t xml:space="preserve">captive </w:t>
            </w:r>
            <w:r>
              <w:rPr>
                <w:rFonts w:ascii="Times New Roman" w:eastAsia="Times New Roman" w:hAnsi="Times New Roman" w:cs="Times New Roman"/>
                <w:color w:val="000000"/>
                <w:sz w:val="24"/>
                <w:szCs w:val="24"/>
                <w:lang w:eastAsia="en-GB"/>
              </w:rPr>
              <w:t>reinsurance undertaking</w:t>
            </w:r>
            <w:r w:rsidRPr="000A3A8F">
              <w:rPr>
                <w:rFonts w:ascii="inherit" w:eastAsia="Times New Roman" w:hAnsi="inherit" w:cs="Times New Roman"/>
                <w:color w:val="000000"/>
                <w:sz w:val="24"/>
                <w:szCs w:val="24"/>
                <w:lang w:eastAsia="en-GB"/>
              </w:rPr>
              <w:t xml:space="preserve"> </w:t>
            </w:r>
            <w:r>
              <w:rPr>
                <w:rFonts w:ascii="inherit" w:eastAsia="Times New Roman" w:hAnsi="inherit" w:cs="Times New Roman"/>
                <w:color w:val="000000"/>
                <w:sz w:val="24"/>
                <w:szCs w:val="24"/>
                <w:lang w:eastAsia="en-GB"/>
              </w:rPr>
              <w:t>template S.27.</w:t>
            </w:r>
            <w:r w:rsidR="000A3A8F" w:rsidRPr="000A3A8F">
              <w:rPr>
                <w:rFonts w:ascii="inherit" w:eastAsia="Times New Roman" w:hAnsi="inherit" w:cs="Times New Roman"/>
                <w:color w:val="000000"/>
                <w:sz w:val="24"/>
                <w:szCs w:val="24"/>
                <w:lang w:eastAsia="en-GB"/>
              </w:rPr>
              <w:t xml:space="preserve">01.01 of Annex I, </w:t>
            </w:r>
          </w:p>
          <w:p w14:paraId="071C79ED" w14:textId="4407FCF5" w:rsidR="000A3A8F" w:rsidRPr="000A3A8F" w:rsidRDefault="00EA13C4" w:rsidP="002549B1">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ii)</w:t>
            </w:r>
            <w:r w:rsidR="00211FD6">
              <w:rPr>
                <w:rFonts w:ascii="inherit" w:eastAsia="Times New Roman" w:hAnsi="inherit" w:cs="Times New Roman"/>
                <w:color w:val="000000"/>
                <w:sz w:val="24"/>
                <w:szCs w:val="24"/>
                <w:lang w:eastAsia="en-GB"/>
              </w:rPr>
              <w:t xml:space="preserve"> </w:t>
            </w:r>
            <w:proofErr w:type="gramStart"/>
            <w:r>
              <w:rPr>
                <w:rFonts w:ascii="inherit" w:eastAsia="Times New Roman" w:hAnsi="inherit" w:cs="Times New Roman"/>
                <w:color w:val="000000"/>
                <w:sz w:val="24"/>
                <w:szCs w:val="24"/>
                <w:lang w:eastAsia="en-GB"/>
              </w:rPr>
              <w:t>for</w:t>
            </w:r>
            <w:proofErr w:type="gramEnd"/>
            <w:r>
              <w:rPr>
                <w:rFonts w:ascii="inherit" w:eastAsia="Times New Roman" w:hAnsi="inherit" w:cs="Times New Roman"/>
                <w:color w:val="000000"/>
                <w:sz w:val="24"/>
                <w:szCs w:val="24"/>
                <w:lang w:eastAsia="en-GB"/>
              </w:rPr>
              <w:t xml:space="preserve"> </w:t>
            </w:r>
            <w:r w:rsidR="00211FD6">
              <w:rPr>
                <w:rFonts w:ascii="inherit" w:eastAsia="Times New Roman" w:hAnsi="inherit" w:cs="Times New Roman"/>
                <w:color w:val="000000"/>
                <w:sz w:val="24"/>
                <w:szCs w:val="24"/>
                <w:lang w:eastAsia="en-GB"/>
              </w:rPr>
              <w:t xml:space="preserve">captive insurance or </w:t>
            </w:r>
            <w:r w:rsidR="00D92DC2">
              <w:rPr>
                <w:rFonts w:ascii="inherit" w:eastAsia="Times New Roman" w:hAnsi="inherit" w:cs="Times New Roman"/>
                <w:color w:val="000000"/>
                <w:sz w:val="24"/>
                <w:szCs w:val="24"/>
                <w:lang w:eastAsia="en-GB"/>
              </w:rPr>
              <w:t xml:space="preserve">captive </w:t>
            </w:r>
            <w:r w:rsidR="00211FD6">
              <w:rPr>
                <w:rFonts w:ascii="inherit" w:eastAsia="Times New Roman" w:hAnsi="inherit" w:cs="Times New Roman"/>
                <w:color w:val="000000"/>
                <w:sz w:val="24"/>
                <w:szCs w:val="24"/>
                <w:lang w:eastAsia="en-GB"/>
              </w:rPr>
              <w:t xml:space="preserve">reinsurance </w:t>
            </w:r>
            <w:r w:rsidR="00211FD6" w:rsidRPr="002549B1">
              <w:rPr>
                <w:rFonts w:ascii="inherit" w:eastAsia="Times New Roman" w:hAnsi="inherit" w:cs="Times New Roman"/>
                <w:color w:val="000000"/>
                <w:sz w:val="24"/>
                <w:szCs w:val="24"/>
                <w:lang w:eastAsia="en-GB"/>
              </w:rPr>
              <w:t>und</w:t>
            </w:r>
            <w:r w:rsidR="00211FD6" w:rsidRPr="00571692">
              <w:rPr>
                <w:rFonts w:ascii="inherit" w:eastAsia="Times New Roman" w:hAnsi="inherit" w:cs="Times New Roman"/>
                <w:color w:val="000000"/>
                <w:sz w:val="24"/>
                <w:szCs w:val="24"/>
                <w:lang w:eastAsia="en-GB"/>
              </w:rPr>
              <w:t xml:space="preserve">ertaking </w:t>
            </w:r>
            <w:r w:rsidR="002549B1">
              <w:rPr>
                <w:rFonts w:ascii="inherit" w:eastAsia="Times New Roman" w:hAnsi="inherit" w:cs="Times New Roman"/>
                <w:color w:val="000000"/>
                <w:sz w:val="24"/>
                <w:szCs w:val="24"/>
                <w:lang w:eastAsia="en-GB"/>
              </w:rPr>
              <w:t xml:space="preserve">summary information and information on simplifications uses on </w:t>
            </w:r>
            <w:r w:rsidR="00D92DC2" w:rsidRPr="00571692">
              <w:rPr>
                <w:rFonts w:ascii="inherit" w:eastAsia="Times New Roman" w:hAnsi="inherit" w:cs="Times New Roman"/>
                <w:color w:val="000000"/>
                <w:sz w:val="24"/>
                <w:szCs w:val="24"/>
                <w:lang w:eastAsia="en-GB"/>
              </w:rPr>
              <w:t>n</w:t>
            </w:r>
            <w:r w:rsidR="002A3DBD" w:rsidRPr="00571692">
              <w:rPr>
                <w:rFonts w:ascii="inherit" w:eastAsia="Times New Roman" w:hAnsi="inherit" w:cs="Times New Roman"/>
                <w:color w:val="000000"/>
                <w:sz w:val="24"/>
                <w:szCs w:val="24"/>
                <w:lang w:eastAsia="en-GB"/>
              </w:rPr>
              <w:t xml:space="preserve">on-life and </w:t>
            </w:r>
            <w:r w:rsidR="00D92DC2" w:rsidRPr="00571692">
              <w:rPr>
                <w:rFonts w:ascii="inherit" w:eastAsia="Times New Roman" w:hAnsi="inherit" w:cs="Times New Roman"/>
                <w:color w:val="000000"/>
                <w:sz w:val="24"/>
                <w:szCs w:val="24"/>
                <w:lang w:eastAsia="en-GB"/>
              </w:rPr>
              <w:t>h</w:t>
            </w:r>
            <w:r w:rsidR="002A3DBD" w:rsidRPr="00571692">
              <w:rPr>
                <w:rFonts w:ascii="inherit" w:eastAsia="Times New Roman" w:hAnsi="inherit" w:cs="Times New Roman"/>
                <w:color w:val="000000"/>
                <w:sz w:val="24"/>
                <w:szCs w:val="24"/>
                <w:lang w:eastAsia="en-GB"/>
              </w:rPr>
              <w:t>ealth catastrophe risk</w:t>
            </w:r>
            <w:r w:rsidR="000A3A8F" w:rsidRPr="000A3A8F">
              <w:rPr>
                <w:rFonts w:ascii="inherit" w:eastAsia="Times New Roman" w:hAnsi="inherit" w:cs="Times New Roman"/>
                <w:color w:val="000000"/>
                <w:sz w:val="24"/>
                <w:szCs w:val="24"/>
                <w:lang w:eastAsia="en-GB"/>
              </w:rPr>
              <w:t>.</w:t>
            </w:r>
          </w:p>
        </w:tc>
      </w:tr>
    </w:tbl>
    <w:p w14:paraId="62195EF5" w14:textId="78D3CF29" w:rsidR="000A3A8F" w:rsidRPr="000A7951"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2.   In case of </w:t>
      </w:r>
      <w:r w:rsidRPr="000A7951">
        <w:rPr>
          <w:rFonts w:ascii="Times New Roman" w:eastAsia="Times New Roman" w:hAnsi="Times New Roman" w:cs="Times New Roman"/>
          <w:color w:val="000000"/>
          <w:sz w:val="24"/>
          <w:szCs w:val="24"/>
          <w:lang w:eastAsia="en-GB"/>
        </w:rPr>
        <w:t>existence of ring-fenced funds or matching adjustment portfolios, the templates referred to in points (</w:t>
      </w:r>
      <w:r w:rsidR="000A7951" w:rsidRPr="000A7951">
        <w:rPr>
          <w:rFonts w:ascii="Times New Roman" w:eastAsia="Times New Roman" w:hAnsi="Times New Roman" w:cs="Times New Roman"/>
          <w:color w:val="000000"/>
          <w:sz w:val="24"/>
          <w:szCs w:val="24"/>
          <w:lang w:eastAsia="en-GB"/>
        </w:rPr>
        <w:t>c) to (s</w:t>
      </w:r>
      <w:r w:rsidRPr="000A7951">
        <w:rPr>
          <w:rFonts w:ascii="Times New Roman" w:eastAsia="Times New Roman" w:hAnsi="Times New Roman" w:cs="Times New Roman"/>
          <w:color w:val="000000"/>
          <w:sz w:val="24"/>
          <w:szCs w:val="24"/>
          <w:lang w:eastAsia="en-GB"/>
        </w:rPr>
        <w:t>) of paragraph 1 shall not be reported for the entity as a whole.</w:t>
      </w:r>
    </w:p>
    <w:p w14:paraId="025CC921" w14:textId="30E46965" w:rsidR="000A3A8F" w:rsidRPr="000A7951"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7951">
        <w:rPr>
          <w:rFonts w:ascii="Times New Roman" w:eastAsia="Times New Roman" w:hAnsi="Times New Roman" w:cs="Times New Roman"/>
          <w:color w:val="000000"/>
          <w:sz w:val="24"/>
          <w:szCs w:val="24"/>
          <w:lang w:eastAsia="en-GB"/>
        </w:rPr>
        <w:t>3.   Where a partial internal model is used, the templates referred to in points (</w:t>
      </w:r>
      <w:r w:rsidR="000A7951" w:rsidRPr="000A7951">
        <w:rPr>
          <w:rFonts w:ascii="Times New Roman" w:eastAsia="Times New Roman" w:hAnsi="Times New Roman" w:cs="Times New Roman"/>
          <w:color w:val="000000"/>
          <w:sz w:val="24"/>
          <w:szCs w:val="24"/>
          <w:lang w:eastAsia="en-GB"/>
        </w:rPr>
        <w:t>c) to (s</w:t>
      </w:r>
      <w:r w:rsidRPr="000A7951">
        <w:rPr>
          <w:rFonts w:ascii="Times New Roman" w:eastAsia="Times New Roman" w:hAnsi="Times New Roman" w:cs="Times New Roman"/>
          <w:color w:val="000000"/>
          <w:sz w:val="24"/>
          <w:szCs w:val="24"/>
          <w:lang w:eastAsia="en-GB"/>
        </w:rPr>
        <w:t>) of paragraph 1 shall only be reported in relation to the risks covered by the standard formula</w:t>
      </w:r>
      <w:r w:rsidR="00F40A4B" w:rsidRPr="000A7951">
        <w:rPr>
          <w:rFonts w:ascii="Times New Roman" w:eastAsia="Times New Roman" w:hAnsi="Times New Roman" w:cs="Times New Roman"/>
          <w:color w:val="000000"/>
          <w:sz w:val="24"/>
          <w:szCs w:val="24"/>
          <w:lang w:eastAsia="en-GB"/>
        </w:rPr>
        <w:t xml:space="preserve"> and</w:t>
      </w:r>
      <w:r w:rsidR="00987394" w:rsidRPr="000A7951">
        <w:rPr>
          <w:rFonts w:ascii="Times New Roman" w:eastAsia="Times New Roman" w:hAnsi="Times New Roman" w:cs="Times New Roman"/>
          <w:color w:val="000000"/>
          <w:sz w:val="24"/>
          <w:szCs w:val="24"/>
          <w:lang w:eastAsia="en-GB"/>
        </w:rPr>
        <w:t xml:space="preserve"> the templates</w:t>
      </w:r>
      <w:r w:rsidR="000A7951" w:rsidRPr="000A7951">
        <w:rPr>
          <w:rFonts w:ascii="Times New Roman" w:eastAsia="Times New Roman" w:hAnsi="Times New Roman" w:cs="Times New Roman"/>
          <w:color w:val="000000"/>
          <w:sz w:val="24"/>
          <w:szCs w:val="24"/>
          <w:lang w:eastAsia="en-GB"/>
        </w:rPr>
        <w:t xml:space="preserve"> referred to in points (j</w:t>
      </w:r>
      <w:r w:rsidR="00987394" w:rsidRPr="000A7951">
        <w:rPr>
          <w:rFonts w:ascii="Times New Roman" w:eastAsia="Times New Roman" w:hAnsi="Times New Roman" w:cs="Times New Roman"/>
          <w:color w:val="000000"/>
          <w:sz w:val="24"/>
          <w:szCs w:val="24"/>
          <w:lang w:eastAsia="en-GB"/>
        </w:rPr>
        <w:t>) to (</w:t>
      </w:r>
      <w:r w:rsidR="000A7951" w:rsidRPr="000A7951">
        <w:rPr>
          <w:rFonts w:ascii="Times New Roman" w:eastAsia="Times New Roman" w:hAnsi="Times New Roman" w:cs="Times New Roman"/>
          <w:color w:val="000000"/>
          <w:sz w:val="24"/>
          <w:szCs w:val="24"/>
          <w:lang w:eastAsia="en-GB"/>
        </w:rPr>
        <w:t>r</w:t>
      </w:r>
      <w:r w:rsidR="00987394" w:rsidRPr="000A7951">
        <w:rPr>
          <w:rFonts w:ascii="Times New Roman" w:eastAsia="Times New Roman" w:hAnsi="Times New Roman" w:cs="Times New Roman"/>
          <w:color w:val="000000"/>
          <w:sz w:val="24"/>
          <w:szCs w:val="24"/>
          <w:lang w:eastAsia="en-GB"/>
        </w:rPr>
        <w:t>) of paragraph 1 shall only be reported in relation to the risks covered by the internal model</w:t>
      </w:r>
      <w:r w:rsidRPr="000A7951">
        <w:rPr>
          <w:rFonts w:ascii="Times New Roman" w:eastAsia="Times New Roman" w:hAnsi="Times New Roman" w:cs="Times New Roman"/>
          <w:color w:val="000000"/>
          <w:sz w:val="24"/>
          <w:szCs w:val="24"/>
          <w:lang w:eastAsia="en-GB"/>
        </w:rPr>
        <w:t>.</w:t>
      </w:r>
    </w:p>
    <w:p w14:paraId="3C9CAE96" w14:textId="19658A92"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7951">
        <w:rPr>
          <w:rFonts w:ascii="Times New Roman" w:eastAsia="Times New Roman" w:hAnsi="Times New Roman" w:cs="Times New Roman"/>
          <w:color w:val="000000"/>
          <w:sz w:val="24"/>
          <w:szCs w:val="24"/>
          <w:lang w:eastAsia="en-GB"/>
        </w:rPr>
        <w:t>4.   Where a full internal model is used, the te</w:t>
      </w:r>
      <w:r w:rsidR="000A7951" w:rsidRPr="000A7951">
        <w:rPr>
          <w:rFonts w:ascii="Times New Roman" w:eastAsia="Times New Roman" w:hAnsi="Times New Roman" w:cs="Times New Roman"/>
          <w:color w:val="000000"/>
          <w:sz w:val="24"/>
          <w:szCs w:val="24"/>
          <w:lang w:eastAsia="en-GB"/>
        </w:rPr>
        <w:t>mplates referred to in points (c) to (s</w:t>
      </w:r>
      <w:r w:rsidRPr="000A7951">
        <w:rPr>
          <w:rFonts w:ascii="Times New Roman" w:eastAsia="Times New Roman" w:hAnsi="Times New Roman" w:cs="Times New Roman"/>
          <w:color w:val="000000"/>
          <w:sz w:val="24"/>
          <w:szCs w:val="24"/>
          <w:lang w:eastAsia="en-GB"/>
        </w:rPr>
        <w:t>) of paragraph 1 shall not be reported</w:t>
      </w:r>
      <w:r w:rsidR="00987394" w:rsidRPr="000A7951">
        <w:rPr>
          <w:rFonts w:ascii="Times New Roman" w:eastAsia="Times New Roman" w:hAnsi="Times New Roman" w:cs="Times New Roman"/>
          <w:color w:val="000000"/>
          <w:sz w:val="24"/>
          <w:szCs w:val="24"/>
          <w:lang w:eastAsia="en-GB"/>
        </w:rPr>
        <w:t xml:space="preserve"> and te</w:t>
      </w:r>
      <w:r w:rsidR="000A7951" w:rsidRPr="000A7951">
        <w:rPr>
          <w:rFonts w:ascii="Times New Roman" w:eastAsia="Times New Roman" w:hAnsi="Times New Roman" w:cs="Times New Roman"/>
          <w:color w:val="000000"/>
          <w:sz w:val="24"/>
          <w:szCs w:val="24"/>
          <w:lang w:eastAsia="en-GB"/>
        </w:rPr>
        <w:t>mplates referred to in points (j</w:t>
      </w:r>
      <w:r w:rsidR="00987394" w:rsidRPr="000A7951">
        <w:rPr>
          <w:rFonts w:ascii="Times New Roman" w:eastAsia="Times New Roman" w:hAnsi="Times New Roman" w:cs="Times New Roman"/>
          <w:color w:val="000000"/>
          <w:sz w:val="24"/>
          <w:szCs w:val="24"/>
          <w:lang w:eastAsia="en-GB"/>
        </w:rPr>
        <w:t>) to (</w:t>
      </w:r>
      <w:r w:rsidR="000A7951" w:rsidRPr="000A7951">
        <w:rPr>
          <w:rFonts w:ascii="Times New Roman" w:eastAsia="Times New Roman" w:hAnsi="Times New Roman" w:cs="Times New Roman"/>
          <w:color w:val="000000"/>
          <w:sz w:val="24"/>
          <w:szCs w:val="24"/>
          <w:lang w:eastAsia="en-GB"/>
        </w:rPr>
        <w:t>r</w:t>
      </w:r>
      <w:r w:rsidR="00987394" w:rsidRPr="000A7951">
        <w:rPr>
          <w:rFonts w:ascii="Times New Roman" w:eastAsia="Times New Roman" w:hAnsi="Times New Roman" w:cs="Times New Roman"/>
          <w:color w:val="000000"/>
          <w:sz w:val="24"/>
          <w:szCs w:val="24"/>
          <w:lang w:eastAsia="en-GB"/>
        </w:rPr>
        <w:t>) of paragraph 1 shall be reported</w:t>
      </w:r>
      <w:r w:rsidRPr="000A7951">
        <w:rPr>
          <w:rFonts w:ascii="Times New Roman" w:eastAsia="Times New Roman" w:hAnsi="Times New Roman" w:cs="Times New Roman"/>
          <w:color w:val="000000"/>
          <w:sz w:val="24"/>
          <w:szCs w:val="24"/>
          <w:lang w:eastAsia="en-GB"/>
        </w:rPr>
        <w:t>.</w:t>
      </w:r>
    </w:p>
    <w:p w14:paraId="61E281CA" w14:textId="68747E39" w:rsidR="00234E18" w:rsidRPr="000A3A8F" w:rsidRDefault="00234E18" w:rsidP="00234E18">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w:t>
      </w:r>
      <w:r w:rsidR="00075B03">
        <w:rPr>
          <w:rFonts w:ascii="Times New Roman" w:eastAsia="Times New Roman" w:hAnsi="Times New Roman" w:cs="Times New Roman"/>
          <w:i/>
          <w:iCs/>
          <w:color w:val="000000"/>
          <w:sz w:val="24"/>
          <w:szCs w:val="24"/>
          <w:lang w:eastAsia="en-GB"/>
        </w:rPr>
        <w:t>5</w:t>
      </w:r>
      <w:r w:rsidR="00D51F06">
        <w:rPr>
          <w:rFonts w:ascii="Times New Roman" w:eastAsia="Times New Roman" w:hAnsi="Times New Roman" w:cs="Times New Roman"/>
          <w:i/>
          <w:iCs/>
          <w:color w:val="000000"/>
          <w:sz w:val="24"/>
          <w:szCs w:val="24"/>
          <w:lang w:eastAsia="en-GB"/>
        </w:rPr>
        <w:t>a</w:t>
      </w:r>
    </w:p>
    <w:p w14:paraId="499A164C" w14:textId="77777777" w:rsidR="00234E18" w:rsidRPr="000A3A8F" w:rsidRDefault="00234E18" w:rsidP="00234E18">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w:t>
      </w:r>
      <w:r>
        <w:rPr>
          <w:rFonts w:ascii="Times New Roman" w:eastAsia="Times New Roman" w:hAnsi="Times New Roman" w:cs="Times New Roman"/>
          <w:b/>
          <w:bCs/>
          <w:color w:val="000000"/>
          <w:sz w:val="24"/>
          <w:szCs w:val="24"/>
          <w:lang w:eastAsia="en-GB"/>
        </w:rPr>
        <w:t>captive reinsurance undertaking</w:t>
      </w:r>
      <w:r w:rsidRPr="000A3A8F">
        <w:rPr>
          <w:rFonts w:ascii="Times New Roman" w:eastAsia="Times New Roman" w:hAnsi="Times New Roman" w:cs="Times New Roman"/>
          <w:b/>
          <w:bCs/>
          <w:color w:val="000000"/>
          <w:sz w:val="24"/>
          <w:szCs w:val="24"/>
          <w:lang w:eastAsia="en-GB"/>
        </w:rPr>
        <w:t>— Solvency Capital Requirement information</w:t>
      </w:r>
    </w:p>
    <w:p w14:paraId="37563B60" w14:textId="77777777" w:rsidR="00234E18" w:rsidRPr="000A3A8F" w:rsidRDefault="00234E18" w:rsidP="00234E18">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w:t>
      </w:r>
      <w:r>
        <w:rPr>
          <w:rFonts w:ascii="Times New Roman" w:eastAsia="Times New Roman" w:hAnsi="Times New Roman" w:cs="Times New Roman"/>
          <w:color w:val="000000"/>
          <w:sz w:val="24"/>
          <w:szCs w:val="24"/>
          <w:lang w:eastAsia="en-GB"/>
        </w:rPr>
        <w:t xml:space="preserve">Captive reinsurance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234E18" w:rsidRPr="000A3A8F" w14:paraId="29CAECA6" w14:textId="77777777" w:rsidTr="009E3071">
        <w:tc>
          <w:tcPr>
            <w:tcW w:w="0" w:type="auto"/>
            <w:shd w:val="clear" w:color="auto" w:fill="FFFFFF"/>
            <w:hideMark/>
          </w:tcPr>
          <w:p w14:paraId="02309C95" w14:textId="77777777" w:rsidR="00234E18" w:rsidRPr="000A3A8F" w:rsidRDefault="00234E18"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DF3B747" w14:textId="77777777" w:rsidR="00234E18" w:rsidRPr="000A3A8F" w:rsidRDefault="00D92DC2" w:rsidP="00234E18">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 </w:t>
            </w:r>
            <w:r w:rsidR="00234E18" w:rsidRPr="000A3A8F">
              <w:rPr>
                <w:rFonts w:ascii="inherit" w:eastAsia="Times New Roman" w:hAnsi="inherit" w:cs="Times New Roman"/>
                <w:color w:val="000000"/>
                <w:sz w:val="24"/>
                <w:szCs w:val="24"/>
                <w:lang w:eastAsia="en-GB"/>
              </w:rPr>
              <w:t>where the undertaking uses the standard formula for the calculation of the Solvency Capital Requirement, template S.25.01.</w:t>
            </w:r>
            <w:r w:rsidR="00234E18">
              <w:rPr>
                <w:rFonts w:ascii="inherit" w:eastAsia="Times New Roman" w:hAnsi="inherit" w:cs="Times New Roman"/>
                <w:color w:val="000000"/>
                <w:sz w:val="24"/>
                <w:szCs w:val="24"/>
                <w:lang w:eastAsia="en-GB"/>
              </w:rPr>
              <w:t>2</w:t>
            </w:r>
            <w:r w:rsidR="00234E18" w:rsidRPr="000A3A8F">
              <w:rPr>
                <w:rFonts w:ascii="inherit" w:eastAsia="Times New Roman" w:hAnsi="inherit" w:cs="Times New Roman"/>
                <w:color w:val="000000"/>
                <w:sz w:val="24"/>
                <w:szCs w:val="24"/>
                <w:lang w:eastAsia="en-GB"/>
              </w:rPr>
              <w:t>1 of Annex I, specifying the Solvency Capital Requirement, following the instructions set out in section S.25.01 of Annex II;</w:t>
            </w:r>
          </w:p>
        </w:tc>
      </w:tr>
    </w:tbl>
    <w:p w14:paraId="68E55C37" w14:textId="77777777" w:rsidR="00234E18" w:rsidRPr="000A3A8F" w:rsidRDefault="00234E18" w:rsidP="00234E18">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234E18" w:rsidRPr="000A3A8F" w14:paraId="4E500C2A" w14:textId="77777777" w:rsidTr="009E3071">
        <w:tc>
          <w:tcPr>
            <w:tcW w:w="0" w:type="auto"/>
            <w:shd w:val="clear" w:color="auto" w:fill="FFFFFF"/>
            <w:hideMark/>
          </w:tcPr>
          <w:p w14:paraId="420FA7DC" w14:textId="77777777" w:rsidR="00234E18" w:rsidRPr="000A3A8F" w:rsidRDefault="00234E18" w:rsidP="009E3071">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DA782C1" w14:textId="77777777" w:rsidR="00234E18" w:rsidRPr="000A3A8F" w:rsidRDefault="00D92DC2" w:rsidP="00EA0248">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 </w:t>
            </w:r>
            <w:proofErr w:type="gramStart"/>
            <w:r w:rsidR="00F36BB0" w:rsidRPr="000A3A8F">
              <w:rPr>
                <w:rFonts w:ascii="inherit" w:eastAsia="Times New Roman" w:hAnsi="inherit" w:cs="Times New Roman"/>
                <w:color w:val="000000"/>
                <w:sz w:val="24"/>
                <w:szCs w:val="24"/>
                <w:lang w:eastAsia="en-GB"/>
              </w:rPr>
              <w:t>where</w:t>
            </w:r>
            <w:proofErr w:type="gramEnd"/>
            <w:r w:rsidR="00F36BB0" w:rsidRPr="000A3A8F">
              <w:rPr>
                <w:rFonts w:ascii="inherit" w:eastAsia="Times New Roman" w:hAnsi="inherit" w:cs="Times New Roman"/>
                <w:color w:val="000000"/>
                <w:sz w:val="24"/>
                <w:szCs w:val="24"/>
                <w:lang w:eastAsia="en-GB"/>
              </w:rPr>
              <w:t xml:space="preserve"> the undertaking uses a partial internal model </w:t>
            </w:r>
            <w:r w:rsidR="00F36BB0">
              <w:rPr>
                <w:rFonts w:ascii="inherit" w:eastAsia="Times New Roman" w:hAnsi="inherit" w:cs="Times New Roman"/>
                <w:color w:val="000000"/>
                <w:sz w:val="24"/>
                <w:szCs w:val="24"/>
                <w:lang w:eastAsia="en-GB"/>
              </w:rPr>
              <w:t xml:space="preserve">or a full internal model </w:t>
            </w:r>
            <w:r w:rsidR="00F36BB0" w:rsidRPr="000A3A8F">
              <w:rPr>
                <w:rFonts w:ascii="inherit" w:eastAsia="Times New Roman" w:hAnsi="inherit" w:cs="Times New Roman"/>
                <w:color w:val="000000"/>
                <w:sz w:val="24"/>
                <w:szCs w:val="24"/>
                <w:lang w:eastAsia="en-GB"/>
              </w:rPr>
              <w:t>for the calculation of the Solvency Capital Requirement, template S.25.0</w:t>
            </w:r>
            <w:r w:rsidR="00EA0248">
              <w:rPr>
                <w:rFonts w:ascii="inherit" w:eastAsia="Times New Roman" w:hAnsi="inherit" w:cs="Times New Roman"/>
                <w:color w:val="000000"/>
                <w:sz w:val="24"/>
                <w:szCs w:val="24"/>
                <w:lang w:eastAsia="en-GB"/>
              </w:rPr>
              <w:t>5</w:t>
            </w:r>
            <w:r w:rsidR="00D51F06">
              <w:rPr>
                <w:rFonts w:ascii="inherit" w:eastAsia="Times New Roman" w:hAnsi="inherit" w:cs="Times New Roman"/>
                <w:color w:val="000000"/>
                <w:sz w:val="24"/>
                <w:szCs w:val="24"/>
                <w:lang w:eastAsia="en-GB"/>
              </w:rPr>
              <w:t>.2</w:t>
            </w:r>
            <w:r w:rsidR="00F36BB0" w:rsidRPr="000A3A8F">
              <w:rPr>
                <w:rFonts w:ascii="inherit" w:eastAsia="Times New Roman" w:hAnsi="inherit" w:cs="Times New Roman"/>
                <w:color w:val="000000"/>
                <w:sz w:val="24"/>
                <w:szCs w:val="24"/>
                <w:lang w:eastAsia="en-GB"/>
              </w:rPr>
              <w:t>1 of Annex I, specifying the Solvency Capital Requirement, following the instructions set out in section S.25.0</w:t>
            </w:r>
            <w:r w:rsidR="00EA0248">
              <w:rPr>
                <w:rFonts w:ascii="inherit" w:eastAsia="Times New Roman" w:hAnsi="inherit" w:cs="Times New Roman"/>
                <w:color w:val="000000"/>
                <w:sz w:val="24"/>
                <w:szCs w:val="24"/>
                <w:lang w:eastAsia="en-GB"/>
              </w:rPr>
              <w:t>5</w:t>
            </w:r>
            <w:r w:rsidR="00F36BB0" w:rsidRPr="000A3A8F">
              <w:rPr>
                <w:rFonts w:ascii="inherit" w:eastAsia="Times New Roman" w:hAnsi="inherit" w:cs="Times New Roman"/>
                <w:color w:val="000000"/>
                <w:sz w:val="24"/>
                <w:szCs w:val="24"/>
                <w:lang w:eastAsia="en-GB"/>
              </w:rPr>
              <w:t xml:space="preserve"> of Annex I</w:t>
            </w:r>
            <w:r w:rsidR="001E5A99">
              <w:rPr>
                <w:rFonts w:ascii="inherit" w:eastAsia="Times New Roman" w:hAnsi="inherit" w:cs="Times New Roman"/>
                <w:color w:val="000000"/>
                <w:sz w:val="24"/>
                <w:szCs w:val="24"/>
                <w:lang w:eastAsia="en-GB"/>
              </w:rPr>
              <w:t>I.</w:t>
            </w:r>
          </w:p>
        </w:tc>
      </w:tr>
    </w:tbl>
    <w:p w14:paraId="6FEF9061" w14:textId="77777777" w:rsidR="00234E18" w:rsidRPr="000A3A8F" w:rsidRDefault="00234E18" w:rsidP="00234E18">
      <w:pPr>
        <w:spacing w:after="0" w:line="240" w:lineRule="auto"/>
        <w:rPr>
          <w:rFonts w:ascii="Times New Roman" w:eastAsia="Times New Roman" w:hAnsi="Times New Roman" w:cs="Times New Roman"/>
          <w:vanish/>
          <w:sz w:val="24"/>
          <w:szCs w:val="24"/>
          <w:lang w:eastAsia="en-GB"/>
        </w:rPr>
      </w:pPr>
    </w:p>
    <w:p w14:paraId="5482D35F" w14:textId="7D215DB6" w:rsidR="000A3A8F" w:rsidRPr="000A3A8F" w:rsidRDefault="00075B03"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16</w:t>
      </w:r>
    </w:p>
    <w:p w14:paraId="39F3C059" w14:textId="222F3DDC"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4D0626">
        <w:rPr>
          <w:rFonts w:ascii="Times New Roman" w:eastAsia="Times New Roman" w:hAnsi="Times New Roman" w:cs="Times New Roman"/>
          <w:b/>
          <w:bCs/>
          <w:color w:val="000000"/>
          <w:sz w:val="24"/>
          <w:szCs w:val="24"/>
          <w:lang w:eastAsia="en-GB"/>
        </w:rPr>
        <w:t xml:space="preserve"> and captive insurance and captive reinsurance undertakings</w:t>
      </w:r>
      <w:r w:rsidRPr="000A3A8F">
        <w:rPr>
          <w:rFonts w:ascii="Times New Roman" w:eastAsia="Times New Roman" w:hAnsi="Times New Roman" w:cs="Times New Roman"/>
          <w:b/>
          <w:bCs/>
          <w:color w:val="000000"/>
          <w:sz w:val="24"/>
          <w:szCs w:val="24"/>
          <w:lang w:eastAsia="en-GB"/>
        </w:rPr>
        <w:t xml:space="preserve"> — Minimum capital requirement information</w:t>
      </w:r>
    </w:p>
    <w:p w14:paraId="5726F231" w14:textId="77777777" w:rsidR="000A3A8F" w:rsidRPr="000A3A8F" w:rsidRDefault="000A3A8F" w:rsidP="00B64E59">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B64E59" w:rsidRPr="00B64E59">
        <w:rPr>
          <w:rFonts w:ascii="Times New Roman" w:eastAsia="Times New Roman" w:hAnsi="Times New Roman" w:cs="Times New Roman"/>
          <w:color w:val="000000"/>
          <w:sz w:val="24"/>
          <w:szCs w:val="24"/>
          <w:lang w:eastAsia="en-GB"/>
        </w:rPr>
        <w:t xml:space="preserve">and captive insurance and captive reinsurance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52E2C1EF" w14:textId="77777777" w:rsidTr="000A3A8F">
        <w:tc>
          <w:tcPr>
            <w:tcW w:w="0" w:type="auto"/>
            <w:shd w:val="clear" w:color="auto" w:fill="FFFFFF"/>
            <w:hideMark/>
          </w:tcPr>
          <w:p w14:paraId="0C26362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30F8C67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insurance and reinsurance undertakings are engaged in only life or only non-life insurance or reinsurance activity, template S.28.01.01 of Annex I, specifying the Minimum Capital Requirement, following the instructions set out in section S.28.01 of Annex II;</w:t>
            </w:r>
          </w:p>
        </w:tc>
      </w:tr>
    </w:tbl>
    <w:p w14:paraId="6036CD9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0E6B1F1" w14:textId="77777777" w:rsidTr="000A3A8F">
        <w:tc>
          <w:tcPr>
            <w:tcW w:w="0" w:type="auto"/>
            <w:shd w:val="clear" w:color="auto" w:fill="FFFFFF"/>
            <w:hideMark/>
          </w:tcPr>
          <w:p w14:paraId="3179AC3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lastRenderedPageBreak/>
              <w:t>(b)</w:t>
            </w:r>
          </w:p>
        </w:tc>
        <w:tc>
          <w:tcPr>
            <w:tcW w:w="0" w:type="auto"/>
            <w:shd w:val="clear" w:color="auto" w:fill="FFFFFF"/>
            <w:hideMark/>
          </w:tcPr>
          <w:p w14:paraId="23D080B7"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where</w:t>
            </w:r>
            <w:proofErr w:type="gramEnd"/>
            <w:r w:rsidRPr="000A3A8F">
              <w:rPr>
                <w:rFonts w:ascii="inherit" w:eastAsia="Times New Roman" w:hAnsi="inherit" w:cs="Times New Roman"/>
                <w:color w:val="000000"/>
                <w:sz w:val="24"/>
                <w:szCs w:val="24"/>
                <w:lang w:eastAsia="en-GB"/>
              </w:rPr>
              <w:t xml:space="preserve"> insurance undertakings are engaged in both life and non-life insurance activity, template S.28.02.01 of Annex I, specifying the Minimum Capital Requirement, following the instructions set out in section S.28.02 of Annex II.</w:t>
            </w:r>
          </w:p>
        </w:tc>
      </w:tr>
    </w:tbl>
    <w:p w14:paraId="7D452CA2" w14:textId="610B00C6"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1</w:t>
      </w:r>
      <w:r w:rsidR="00075B03">
        <w:rPr>
          <w:rFonts w:ascii="Times New Roman" w:eastAsia="Times New Roman" w:hAnsi="Times New Roman" w:cs="Times New Roman"/>
          <w:i/>
          <w:iCs/>
          <w:color w:val="000000"/>
          <w:sz w:val="24"/>
          <w:szCs w:val="24"/>
          <w:lang w:eastAsia="en-GB"/>
        </w:rPr>
        <w:t>7</w:t>
      </w:r>
    </w:p>
    <w:p w14:paraId="61CE4AFF" w14:textId="6A558D9B"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 — Variation analysis information</w:t>
      </w:r>
    </w:p>
    <w:p w14:paraId="421FF420"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 reinsurance undertakings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1592C71" w14:textId="77777777" w:rsidTr="000A3A8F">
        <w:tc>
          <w:tcPr>
            <w:tcW w:w="0" w:type="auto"/>
            <w:shd w:val="clear" w:color="auto" w:fill="FFFFFF"/>
            <w:hideMark/>
          </w:tcPr>
          <w:p w14:paraId="5EE5412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C011A4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S.29.01.01 of Annex I, specifying information on the variation of the excess of assets over liabilities during the reporting year providing a summary of main sources of this variation, following the instructions set out in section S.29.01 of Annex II;</w:t>
            </w:r>
          </w:p>
        </w:tc>
      </w:tr>
    </w:tbl>
    <w:p w14:paraId="050ADC6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B01FD9D" w14:textId="77777777" w:rsidTr="000A3A8F">
        <w:tc>
          <w:tcPr>
            <w:tcW w:w="0" w:type="auto"/>
            <w:shd w:val="clear" w:color="auto" w:fill="FFFFFF"/>
            <w:hideMark/>
          </w:tcPr>
          <w:p w14:paraId="0CB6C7F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5B22396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S.29.02.01 of Annex I, specifying information on the part of variation of the excess of assets over liabilities during the reporting year explained by investments and financial liabilities, following the instructions set out in section S.29.02 of Annex II;</w:t>
            </w:r>
          </w:p>
        </w:tc>
      </w:tr>
    </w:tbl>
    <w:p w14:paraId="266B42E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6C368141" w14:textId="77777777" w:rsidTr="000A3A8F">
        <w:tc>
          <w:tcPr>
            <w:tcW w:w="0" w:type="auto"/>
            <w:shd w:val="clear" w:color="auto" w:fill="FFFFFF"/>
            <w:hideMark/>
          </w:tcPr>
          <w:p w14:paraId="7BF2941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18E38A1F" w14:textId="1DC3E126" w:rsidR="00CE37CB" w:rsidRPr="000A3A8F" w:rsidRDefault="000A3A8F" w:rsidP="00CE37CB">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templates S.29.03.01 and S.29.04.01 of Annex I, specifying information on the part of variation of the excess of assets over liabilities during the reporting year explained by </w:t>
            </w:r>
            <w:r w:rsidR="004D0626">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technical provisions, following the instructions set out in section S.29.03 and S.29.04 of Annex II.</w:t>
            </w:r>
          </w:p>
        </w:tc>
      </w:tr>
    </w:tbl>
    <w:p w14:paraId="02098B16" w14:textId="47242791" w:rsidR="000A3A8F" w:rsidRPr="000A3A8F" w:rsidRDefault="00075B03"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18</w:t>
      </w:r>
    </w:p>
    <w:p w14:paraId="432970D5" w14:textId="5C6F35F8"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w:t>
      </w:r>
      <w:r w:rsidR="00677328">
        <w:rPr>
          <w:rFonts w:ascii="Times New Roman" w:eastAsia="Times New Roman" w:hAnsi="Times New Roman" w:cs="Times New Roman"/>
          <w:b/>
          <w:bCs/>
          <w:color w:val="000000"/>
          <w:sz w:val="24"/>
          <w:szCs w:val="24"/>
          <w:lang w:eastAsia="en-GB"/>
        </w:rPr>
        <w:t xml:space="preserve"> </w:t>
      </w:r>
      <w:r w:rsidR="002977F2">
        <w:rPr>
          <w:rFonts w:ascii="Times New Roman" w:eastAsia="Times New Roman" w:hAnsi="Times New Roman" w:cs="Times New Roman"/>
          <w:b/>
          <w:bCs/>
          <w:color w:val="000000"/>
          <w:sz w:val="24"/>
          <w:szCs w:val="24"/>
          <w:lang w:eastAsia="en-GB"/>
        </w:rPr>
        <w:t>and captive insurance undertakings</w:t>
      </w:r>
      <w:r w:rsidR="00C14074">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Reinsurance and special purpose vehicles information</w:t>
      </w:r>
    </w:p>
    <w:p w14:paraId="27DA6ACF" w14:textId="77777777" w:rsidR="000A3A8F" w:rsidRPr="000A3A8F" w:rsidRDefault="000A3A8F" w:rsidP="00CF2F4B">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Insurance and reinsurance undertakings </w:t>
      </w:r>
      <w:r w:rsidR="00B64E59">
        <w:rPr>
          <w:rFonts w:ascii="Times New Roman" w:eastAsia="Times New Roman" w:hAnsi="Times New Roman" w:cs="Times New Roman"/>
          <w:color w:val="000000"/>
          <w:sz w:val="24"/>
          <w:szCs w:val="24"/>
          <w:lang w:eastAsia="en-GB"/>
        </w:rPr>
        <w:t xml:space="preserve">and captive 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21AAB" w14:paraId="7A2EB5F1" w14:textId="77777777" w:rsidTr="000A3A8F">
        <w:tc>
          <w:tcPr>
            <w:tcW w:w="0" w:type="auto"/>
            <w:shd w:val="clear" w:color="auto" w:fill="FFFFFF"/>
            <w:hideMark/>
          </w:tcPr>
          <w:p w14:paraId="01404000" w14:textId="77777777" w:rsidR="000A3A8F" w:rsidRPr="00021AAB" w:rsidRDefault="000A3A8F" w:rsidP="000A3A8F">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(a)</w:t>
            </w:r>
          </w:p>
        </w:tc>
        <w:tc>
          <w:tcPr>
            <w:tcW w:w="0" w:type="auto"/>
            <w:shd w:val="clear" w:color="auto" w:fill="FFFFFF"/>
            <w:hideMark/>
          </w:tcPr>
          <w:p w14:paraId="18E3E757" w14:textId="3AEE4876" w:rsidR="000A3A8F" w:rsidRPr="00021AAB" w:rsidRDefault="00827A07" w:rsidP="006D4592">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where</w:t>
            </w:r>
            <w:r w:rsidRPr="00021AAB">
              <w:t xml:space="preserve"> </w:t>
            </w:r>
            <w:r w:rsidRPr="00021AAB">
              <w:rPr>
                <w:rFonts w:ascii="inherit" w:eastAsia="Times New Roman" w:hAnsi="inherit" w:cs="Times New Roman"/>
                <w:color w:val="000000"/>
                <w:sz w:val="24"/>
                <w:szCs w:val="24"/>
                <w:lang w:eastAsia="en-GB"/>
              </w:rPr>
              <w:t xml:space="preserve">reinsurance </w:t>
            </w:r>
            <w:proofErr w:type="spellStart"/>
            <w:r w:rsidRPr="00021AAB">
              <w:rPr>
                <w:rFonts w:ascii="inherit" w:eastAsia="Times New Roman" w:hAnsi="inherit" w:cs="Times New Roman"/>
                <w:color w:val="000000"/>
                <w:sz w:val="24"/>
                <w:szCs w:val="24"/>
                <w:lang w:eastAsia="en-GB"/>
              </w:rPr>
              <w:t>recoverables</w:t>
            </w:r>
            <w:proofErr w:type="spellEnd"/>
            <w:r w:rsidRPr="00021AAB">
              <w:rPr>
                <w:rFonts w:ascii="inherit" w:eastAsia="Times New Roman" w:hAnsi="inherit" w:cs="Times New Roman"/>
                <w:color w:val="000000"/>
                <w:sz w:val="24"/>
                <w:szCs w:val="24"/>
                <w:lang w:eastAsia="en-GB"/>
              </w:rPr>
              <w:t xml:space="preserve"> are higher than 10% of the </w:t>
            </w:r>
            <w:r w:rsidR="001D0BDE" w:rsidRPr="00021AAB">
              <w:rPr>
                <w:rFonts w:ascii="inherit" w:eastAsia="Times New Roman" w:hAnsi="inherit" w:cs="Times New Roman"/>
                <w:color w:val="000000"/>
                <w:sz w:val="24"/>
                <w:szCs w:val="24"/>
                <w:lang w:eastAsia="en-GB"/>
              </w:rPr>
              <w:t xml:space="preserve">total </w:t>
            </w:r>
            <w:r w:rsidR="00976712" w:rsidRPr="00021AAB">
              <w:rPr>
                <w:rFonts w:ascii="inherit" w:eastAsia="Times New Roman" w:hAnsi="inherit" w:cs="Times New Roman"/>
                <w:color w:val="000000"/>
                <w:sz w:val="24"/>
                <w:szCs w:val="24"/>
                <w:lang w:eastAsia="en-GB"/>
              </w:rPr>
              <w:t>b</w:t>
            </w:r>
            <w:r w:rsidRPr="00021AAB">
              <w:rPr>
                <w:rFonts w:ascii="inherit" w:eastAsia="Times New Roman" w:hAnsi="inherit" w:cs="Times New Roman"/>
                <w:color w:val="000000"/>
                <w:sz w:val="24"/>
                <w:szCs w:val="24"/>
                <w:lang w:eastAsia="en-GB"/>
              </w:rPr>
              <w:t xml:space="preserve">est </w:t>
            </w:r>
            <w:r w:rsidR="00976712" w:rsidRPr="00477A0C">
              <w:rPr>
                <w:rFonts w:ascii="inherit" w:eastAsia="Times New Roman" w:hAnsi="inherit" w:cs="Times New Roman"/>
                <w:color w:val="000000"/>
                <w:sz w:val="24"/>
                <w:szCs w:val="24"/>
                <w:lang w:eastAsia="en-GB"/>
              </w:rPr>
              <w:t>e</w:t>
            </w:r>
            <w:r w:rsidRPr="00477A0C">
              <w:rPr>
                <w:rFonts w:ascii="inherit" w:eastAsia="Times New Roman" w:hAnsi="inherit" w:cs="Times New Roman"/>
                <w:color w:val="000000"/>
                <w:sz w:val="24"/>
                <w:szCs w:val="24"/>
                <w:lang w:eastAsia="en-GB"/>
              </w:rPr>
              <w:t>stimate</w:t>
            </w:r>
            <w:r w:rsidR="00477A0C" w:rsidRPr="00477A0C">
              <w:rPr>
                <w:rFonts w:ascii="inherit" w:eastAsia="Times New Roman" w:hAnsi="inherit" w:cs="Times New Roman"/>
                <w:color w:val="000000"/>
                <w:sz w:val="24"/>
                <w:szCs w:val="24"/>
                <w:lang w:eastAsia="en-GB"/>
              </w:rPr>
              <w:t xml:space="preserve"> calculated </w:t>
            </w:r>
            <w:r w:rsidR="00477A0C" w:rsidRPr="0074694C">
              <w:rPr>
                <w:rFonts w:ascii="inherit" w:eastAsia="Times New Roman" w:hAnsi="inherit" w:cs="Times New Roman"/>
                <w:color w:val="000000"/>
                <w:sz w:val="24"/>
                <w:szCs w:val="24"/>
                <w:lang w:eastAsia="en-GB"/>
              </w:rPr>
              <w:t>separately for life and non-life business</w:t>
            </w:r>
            <w:r w:rsidR="00976712" w:rsidRPr="0074694C">
              <w:rPr>
                <w:rFonts w:ascii="inherit" w:eastAsia="Times New Roman" w:hAnsi="inherit" w:cs="Times New Roman"/>
                <w:color w:val="000000"/>
                <w:sz w:val="24"/>
                <w:szCs w:val="24"/>
                <w:lang w:eastAsia="en-GB"/>
              </w:rPr>
              <w:t>,</w:t>
            </w:r>
            <w:r w:rsidRPr="0074694C">
              <w:rPr>
                <w:rFonts w:ascii="inherit" w:eastAsia="Times New Roman" w:hAnsi="inherit" w:cs="Times New Roman"/>
                <w:color w:val="000000"/>
                <w:sz w:val="24"/>
                <w:szCs w:val="24"/>
                <w:lang w:eastAsia="en-GB"/>
              </w:rPr>
              <w:t xml:space="preserve"> </w:t>
            </w:r>
            <w:r w:rsidR="000A3A8F" w:rsidRPr="0074694C">
              <w:rPr>
                <w:rFonts w:ascii="inherit" w:eastAsia="Times New Roman" w:hAnsi="inherit" w:cs="Times New Roman"/>
                <w:color w:val="000000"/>
                <w:sz w:val="24"/>
                <w:szCs w:val="24"/>
                <w:lang w:eastAsia="en-GB"/>
              </w:rPr>
              <w:t>template S.30.01.01 of Annex</w:t>
            </w:r>
            <w:r w:rsidR="000A3A8F" w:rsidRPr="00021AAB">
              <w:rPr>
                <w:rFonts w:ascii="inherit" w:eastAsia="Times New Roman" w:hAnsi="inherit" w:cs="Times New Roman"/>
                <w:color w:val="000000"/>
                <w:sz w:val="24"/>
                <w:szCs w:val="24"/>
                <w:lang w:eastAsia="en-GB"/>
              </w:rPr>
              <w:t xml:space="preserve"> I, specifying information on facultative covers in the next reporting year covering information on the </w:t>
            </w:r>
            <w:r w:rsidR="00437347" w:rsidRPr="00021AAB">
              <w:rPr>
                <w:rFonts w:ascii="inherit" w:eastAsia="Times New Roman" w:hAnsi="inherit" w:cs="Times New Roman"/>
                <w:color w:val="000000"/>
                <w:sz w:val="24"/>
                <w:szCs w:val="24"/>
                <w:lang w:eastAsia="en-GB"/>
              </w:rPr>
              <w:t>2</w:t>
            </w:r>
            <w:r w:rsidR="000A3A8F" w:rsidRPr="00021AAB">
              <w:rPr>
                <w:rFonts w:ascii="inherit" w:eastAsia="Times New Roman" w:hAnsi="inherit" w:cs="Times New Roman"/>
                <w:color w:val="000000"/>
                <w:sz w:val="24"/>
                <w:szCs w:val="24"/>
                <w:lang w:eastAsia="en-GB"/>
              </w:rPr>
              <w:t xml:space="preserve">0 </w:t>
            </w:r>
            <w:r w:rsidR="00437347" w:rsidRPr="00021AAB">
              <w:rPr>
                <w:rFonts w:ascii="inherit" w:eastAsia="Times New Roman" w:hAnsi="inherit" w:cs="Times New Roman"/>
                <w:color w:val="000000"/>
                <w:sz w:val="24"/>
                <w:szCs w:val="24"/>
                <w:lang w:eastAsia="en-GB"/>
              </w:rPr>
              <w:t xml:space="preserve">largest facultative reinsurance exposures </w:t>
            </w:r>
            <w:r w:rsidR="00976712" w:rsidRPr="00021AAB">
              <w:rPr>
                <w:rFonts w:ascii="inherit" w:eastAsia="Times New Roman" w:hAnsi="inherit" w:cs="Times New Roman"/>
                <w:color w:val="000000"/>
                <w:sz w:val="24"/>
                <w:szCs w:val="24"/>
                <w:lang w:eastAsia="en-GB"/>
              </w:rPr>
              <w:t>and</w:t>
            </w:r>
            <w:r w:rsidR="00437347" w:rsidRPr="00021AAB">
              <w:rPr>
                <w:rFonts w:ascii="inherit" w:eastAsia="Times New Roman" w:hAnsi="inherit" w:cs="Times New Roman"/>
                <w:color w:val="000000"/>
                <w:sz w:val="24"/>
                <w:szCs w:val="24"/>
                <w:lang w:eastAsia="en-GB"/>
              </w:rPr>
              <w:t xml:space="preserve"> the 2 </w:t>
            </w:r>
            <w:r w:rsidR="00976712" w:rsidRPr="00021AAB">
              <w:rPr>
                <w:rFonts w:ascii="inherit" w:eastAsia="Times New Roman" w:hAnsi="inherit" w:cs="Times New Roman"/>
                <w:color w:val="000000"/>
                <w:sz w:val="24"/>
                <w:szCs w:val="24"/>
                <w:lang w:eastAsia="en-GB"/>
              </w:rPr>
              <w:t xml:space="preserve">largest </w:t>
            </w:r>
            <w:r w:rsidR="00437347" w:rsidRPr="00021AAB">
              <w:rPr>
                <w:rFonts w:ascii="inherit" w:eastAsia="Times New Roman" w:hAnsi="inherit" w:cs="Times New Roman"/>
                <w:color w:val="000000"/>
                <w:sz w:val="24"/>
                <w:szCs w:val="24"/>
                <w:lang w:eastAsia="en-GB"/>
              </w:rPr>
              <w:t xml:space="preserve">in </w:t>
            </w:r>
            <w:r w:rsidR="000A3A8F" w:rsidRPr="00021AAB">
              <w:rPr>
                <w:rFonts w:ascii="inherit" w:eastAsia="Times New Roman" w:hAnsi="inherit" w:cs="Times New Roman"/>
                <w:color w:val="000000"/>
                <w:sz w:val="24"/>
                <w:szCs w:val="24"/>
                <w:lang w:eastAsia="en-GB"/>
              </w:rPr>
              <w:t>each line of business as defined in Annex I to Delegated Regulation (EU) 2015/35</w:t>
            </w:r>
            <w:r w:rsidR="00976712" w:rsidRPr="00021AAB">
              <w:rPr>
                <w:rFonts w:ascii="inherit" w:eastAsia="Times New Roman" w:hAnsi="inherit" w:cs="Times New Roman"/>
                <w:color w:val="000000"/>
                <w:sz w:val="24"/>
                <w:szCs w:val="24"/>
                <w:lang w:eastAsia="en-GB"/>
              </w:rPr>
              <w:t>,</w:t>
            </w:r>
            <w:r w:rsidR="000A3A8F" w:rsidRPr="00021AAB">
              <w:rPr>
                <w:rFonts w:ascii="inherit" w:eastAsia="Times New Roman" w:hAnsi="inherit" w:cs="Times New Roman"/>
                <w:color w:val="000000"/>
                <w:sz w:val="24"/>
                <w:szCs w:val="24"/>
                <w:lang w:eastAsia="en-GB"/>
              </w:rPr>
              <w:t xml:space="preserve"> </w:t>
            </w:r>
            <w:r w:rsidR="00437347" w:rsidRPr="00021AAB">
              <w:rPr>
                <w:rFonts w:ascii="inherit" w:eastAsia="Times New Roman" w:hAnsi="inherit" w:cs="Times New Roman"/>
                <w:color w:val="000000"/>
                <w:sz w:val="24"/>
                <w:szCs w:val="24"/>
                <w:lang w:eastAsia="en-GB"/>
              </w:rPr>
              <w:t>i</w:t>
            </w:r>
            <w:r w:rsidR="00976712" w:rsidRPr="00021AAB">
              <w:rPr>
                <w:rFonts w:ascii="inherit" w:eastAsia="Times New Roman" w:hAnsi="inherit" w:cs="Times New Roman"/>
                <w:color w:val="000000"/>
                <w:sz w:val="24"/>
                <w:szCs w:val="24"/>
                <w:lang w:eastAsia="en-GB"/>
              </w:rPr>
              <w:t>nsofar as</w:t>
            </w:r>
            <w:r w:rsidR="00437347" w:rsidRPr="00021AAB">
              <w:rPr>
                <w:rFonts w:ascii="inherit" w:eastAsia="Times New Roman" w:hAnsi="inherit" w:cs="Times New Roman"/>
                <w:color w:val="000000"/>
                <w:sz w:val="24"/>
                <w:szCs w:val="24"/>
                <w:lang w:eastAsia="en-GB"/>
              </w:rPr>
              <w:t xml:space="preserve"> not covered by the 20 largest, </w:t>
            </w:r>
            <w:r w:rsidR="000A3A8F" w:rsidRPr="00021AAB">
              <w:rPr>
                <w:rFonts w:ascii="inherit" w:eastAsia="Times New Roman" w:hAnsi="inherit" w:cs="Times New Roman"/>
                <w:color w:val="000000"/>
                <w:sz w:val="24"/>
                <w:szCs w:val="24"/>
                <w:lang w:eastAsia="en-GB"/>
              </w:rPr>
              <w:t>for which facultative reinsurance is used, following the instructions set out in section S.30.01 of Annex</w:t>
            </w:r>
            <w:r w:rsidR="000A3A8F" w:rsidRPr="006E389D">
              <w:rPr>
                <w:rFonts w:ascii="inherit" w:eastAsia="Times New Roman" w:hAnsi="inherit" w:cs="Times New Roman"/>
                <w:color w:val="000000"/>
                <w:sz w:val="24"/>
                <w:szCs w:val="24"/>
                <w:lang w:eastAsia="en-GB"/>
              </w:rPr>
              <w:t xml:space="preserve"> II to this Regulation;</w:t>
            </w:r>
          </w:p>
        </w:tc>
      </w:tr>
    </w:tbl>
    <w:p w14:paraId="6D06D2E0" w14:textId="77777777" w:rsidR="000A3A8F" w:rsidRPr="00021AAB"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21AAB" w14:paraId="551633F0" w14:textId="77777777" w:rsidTr="000A3A8F">
        <w:tc>
          <w:tcPr>
            <w:tcW w:w="0" w:type="auto"/>
            <w:shd w:val="clear" w:color="auto" w:fill="FFFFFF"/>
            <w:hideMark/>
          </w:tcPr>
          <w:p w14:paraId="39D4C865" w14:textId="77777777" w:rsidR="000A3A8F" w:rsidRPr="00021AAB" w:rsidRDefault="000A3A8F" w:rsidP="000A3A8F">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(b)</w:t>
            </w:r>
          </w:p>
        </w:tc>
        <w:tc>
          <w:tcPr>
            <w:tcW w:w="0" w:type="auto"/>
            <w:shd w:val="clear" w:color="auto" w:fill="FFFFFF"/>
            <w:hideMark/>
          </w:tcPr>
          <w:p w14:paraId="3318AF9F" w14:textId="6203414A" w:rsidR="000A3A8F" w:rsidRPr="00021AAB" w:rsidRDefault="00827A07" w:rsidP="006D4592">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where</w:t>
            </w:r>
            <w:r w:rsidRPr="00021AAB">
              <w:t xml:space="preserve"> </w:t>
            </w:r>
            <w:r w:rsidRPr="00021AAB">
              <w:rPr>
                <w:rFonts w:ascii="inherit" w:eastAsia="Times New Roman" w:hAnsi="inherit" w:cs="Times New Roman"/>
                <w:color w:val="000000"/>
                <w:sz w:val="24"/>
                <w:szCs w:val="24"/>
                <w:lang w:eastAsia="en-GB"/>
              </w:rPr>
              <w:t xml:space="preserve">reinsurance </w:t>
            </w:r>
            <w:proofErr w:type="spellStart"/>
            <w:r w:rsidRPr="00021AAB">
              <w:rPr>
                <w:rFonts w:ascii="inherit" w:eastAsia="Times New Roman" w:hAnsi="inherit" w:cs="Times New Roman"/>
                <w:color w:val="000000"/>
                <w:sz w:val="24"/>
                <w:szCs w:val="24"/>
                <w:lang w:eastAsia="en-GB"/>
              </w:rPr>
              <w:t>recoverables</w:t>
            </w:r>
            <w:proofErr w:type="spellEnd"/>
            <w:r w:rsidRPr="00021AAB">
              <w:rPr>
                <w:rFonts w:ascii="inherit" w:eastAsia="Times New Roman" w:hAnsi="inherit" w:cs="Times New Roman"/>
                <w:color w:val="000000"/>
                <w:sz w:val="24"/>
                <w:szCs w:val="24"/>
                <w:lang w:eastAsia="en-GB"/>
              </w:rPr>
              <w:t xml:space="preserve"> are higher than 10% of the </w:t>
            </w:r>
            <w:r w:rsidR="001D0BDE" w:rsidRPr="00021AAB">
              <w:rPr>
                <w:rFonts w:ascii="inherit" w:eastAsia="Times New Roman" w:hAnsi="inherit" w:cs="Times New Roman"/>
                <w:color w:val="000000"/>
                <w:sz w:val="24"/>
                <w:szCs w:val="24"/>
                <w:lang w:eastAsia="en-GB"/>
              </w:rPr>
              <w:t xml:space="preserve">total </w:t>
            </w:r>
            <w:r w:rsidR="00976712" w:rsidRPr="00021AAB">
              <w:rPr>
                <w:rFonts w:ascii="inherit" w:eastAsia="Times New Roman" w:hAnsi="inherit" w:cs="Times New Roman"/>
                <w:color w:val="000000"/>
                <w:sz w:val="24"/>
                <w:szCs w:val="24"/>
                <w:lang w:eastAsia="en-GB"/>
              </w:rPr>
              <w:t>b</w:t>
            </w:r>
            <w:r w:rsidRPr="00021AAB">
              <w:rPr>
                <w:rFonts w:ascii="inherit" w:eastAsia="Times New Roman" w:hAnsi="inherit" w:cs="Times New Roman"/>
                <w:color w:val="000000"/>
                <w:sz w:val="24"/>
                <w:szCs w:val="24"/>
                <w:lang w:eastAsia="en-GB"/>
              </w:rPr>
              <w:t xml:space="preserve">est </w:t>
            </w:r>
            <w:r w:rsidR="00976712" w:rsidRPr="00477A0C">
              <w:rPr>
                <w:rFonts w:ascii="inherit" w:eastAsia="Times New Roman" w:hAnsi="inherit" w:cs="Times New Roman"/>
                <w:color w:val="000000"/>
                <w:sz w:val="24"/>
                <w:szCs w:val="24"/>
                <w:lang w:eastAsia="en-GB"/>
              </w:rPr>
              <w:t>e</w:t>
            </w:r>
            <w:r w:rsidRPr="00477A0C">
              <w:rPr>
                <w:rFonts w:ascii="inherit" w:eastAsia="Times New Roman" w:hAnsi="inherit" w:cs="Times New Roman"/>
                <w:color w:val="000000"/>
                <w:sz w:val="24"/>
                <w:szCs w:val="24"/>
                <w:lang w:eastAsia="en-GB"/>
              </w:rPr>
              <w:t>stimate</w:t>
            </w:r>
            <w:r w:rsidR="00477A0C" w:rsidRPr="00477A0C">
              <w:rPr>
                <w:rFonts w:ascii="inherit" w:eastAsia="Times New Roman" w:hAnsi="inherit" w:cs="Times New Roman"/>
                <w:color w:val="000000"/>
                <w:sz w:val="24"/>
                <w:szCs w:val="24"/>
                <w:lang w:eastAsia="en-GB"/>
              </w:rPr>
              <w:t xml:space="preserve"> calculated separately for life and non-life business</w:t>
            </w:r>
            <w:r w:rsidR="00976712" w:rsidRPr="00477A0C">
              <w:rPr>
                <w:rFonts w:ascii="inherit" w:eastAsia="Times New Roman" w:hAnsi="inherit" w:cs="Times New Roman"/>
                <w:color w:val="000000"/>
                <w:sz w:val="24"/>
                <w:szCs w:val="24"/>
                <w:lang w:eastAsia="en-GB"/>
              </w:rPr>
              <w:t>,</w:t>
            </w:r>
            <w:r w:rsidRPr="00477A0C">
              <w:rPr>
                <w:rFonts w:ascii="inherit" w:eastAsia="Times New Roman" w:hAnsi="inherit" w:cs="Times New Roman"/>
                <w:color w:val="000000"/>
                <w:sz w:val="24"/>
                <w:szCs w:val="24"/>
                <w:lang w:eastAsia="en-GB"/>
              </w:rPr>
              <w:t xml:space="preserve"> </w:t>
            </w:r>
            <w:r w:rsidR="000A3A8F" w:rsidRPr="00477A0C">
              <w:rPr>
                <w:rFonts w:ascii="inherit" w:eastAsia="Times New Roman" w:hAnsi="inherit" w:cs="Times New Roman"/>
                <w:color w:val="000000"/>
                <w:sz w:val="24"/>
                <w:szCs w:val="24"/>
                <w:lang w:eastAsia="en-GB"/>
              </w:rPr>
              <w:t>template S.30.02.01 of Annex I,</w:t>
            </w:r>
            <w:r w:rsidR="000A3A8F" w:rsidRPr="00021AAB">
              <w:rPr>
                <w:rFonts w:ascii="inherit" w:eastAsia="Times New Roman" w:hAnsi="inherit" w:cs="Times New Roman"/>
                <w:color w:val="000000"/>
                <w:sz w:val="24"/>
                <w:szCs w:val="24"/>
                <w:lang w:eastAsia="en-GB"/>
              </w:rPr>
              <w:t xml:space="preserve"> specifying information on shares of reinsurers of facultative covers in the next reporting year covering information on the </w:t>
            </w:r>
            <w:r w:rsidR="00437347" w:rsidRPr="00021AAB">
              <w:rPr>
                <w:rFonts w:ascii="inherit" w:eastAsia="Times New Roman" w:hAnsi="inherit" w:cs="Times New Roman"/>
                <w:color w:val="000000"/>
                <w:sz w:val="24"/>
                <w:szCs w:val="24"/>
                <w:lang w:eastAsia="en-GB"/>
              </w:rPr>
              <w:t>2</w:t>
            </w:r>
            <w:r w:rsidR="000A3A8F" w:rsidRPr="00021AAB">
              <w:rPr>
                <w:rFonts w:ascii="inherit" w:eastAsia="Times New Roman" w:hAnsi="inherit" w:cs="Times New Roman"/>
                <w:color w:val="000000"/>
                <w:sz w:val="24"/>
                <w:szCs w:val="24"/>
                <w:lang w:eastAsia="en-GB"/>
              </w:rPr>
              <w:t xml:space="preserve">0 </w:t>
            </w:r>
            <w:r w:rsidR="00437347" w:rsidRPr="00021AAB">
              <w:rPr>
                <w:rFonts w:ascii="inherit" w:eastAsia="Times New Roman" w:hAnsi="inherit" w:cs="Times New Roman"/>
                <w:color w:val="000000"/>
                <w:sz w:val="24"/>
                <w:szCs w:val="24"/>
                <w:lang w:eastAsia="en-GB"/>
              </w:rPr>
              <w:t>largest facultative reinsurance exposures</w:t>
            </w:r>
            <w:r w:rsidR="00976712" w:rsidRPr="00021AAB">
              <w:rPr>
                <w:rFonts w:ascii="inherit" w:eastAsia="Times New Roman" w:hAnsi="inherit" w:cs="Times New Roman"/>
                <w:color w:val="000000"/>
                <w:sz w:val="24"/>
                <w:szCs w:val="24"/>
                <w:lang w:eastAsia="en-GB"/>
              </w:rPr>
              <w:t xml:space="preserve"> and</w:t>
            </w:r>
            <w:r w:rsidR="00437347" w:rsidRPr="00021AAB">
              <w:rPr>
                <w:rFonts w:ascii="inherit" w:eastAsia="Times New Roman" w:hAnsi="inherit" w:cs="Times New Roman"/>
                <w:color w:val="000000"/>
                <w:sz w:val="24"/>
                <w:szCs w:val="24"/>
                <w:lang w:eastAsia="en-GB"/>
              </w:rPr>
              <w:t xml:space="preserve"> the 2 </w:t>
            </w:r>
            <w:r w:rsidR="00976712" w:rsidRPr="00021AAB">
              <w:rPr>
                <w:rFonts w:ascii="inherit" w:eastAsia="Times New Roman" w:hAnsi="inherit" w:cs="Times New Roman"/>
                <w:color w:val="000000"/>
                <w:sz w:val="24"/>
                <w:szCs w:val="24"/>
                <w:lang w:eastAsia="en-GB"/>
              </w:rPr>
              <w:t xml:space="preserve">largest </w:t>
            </w:r>
            <w:r w:rsidR="00437347" w:rsidRPr="00021AAB">
              <w:rPr>
                <w:rFonts w:ascii="inherit" w:eastAsia="Times New Roman" w:hAnsi="inherit" w:cs="Times New Roman"/>
                <w:color w:val="000000"/>
                <w:sz w:val="24"/>
                <w:szCs w:val="24"/>
                <w:lang w:eastAsia="en-GB"/>
              </w:rPr>
              <w:t>in</w:t>
            </w:r>
            <w:r w:rsidR="000A3A8F" w:rsidRPr="00021AAB">
              <w:rPr>
                <w:rFonts w:ascii="inherit" w:eastAsia="Times New Roman" w:hAnsi="inherit" w:cs="Times New Roman"/>
                <w:color w:val="000000"/>
                <w:sz w:val="24"/>
                <w:szCs w:val="24"/>
                <w:lang w:eastAsia="en-GB"/>
              </w:rPr>
              <w:t xml:space="preserve"> each line of business as defined in Annex I to Delegated Regulation (EU) 2015/35</w:t>
            </w:r>
            <w:r w:rsidR="00976712" w:rsidRPr="00021AAB">
              <w:rPr>
                <w:rFonts w:ascii="inherit" w:eastAsia="Times New Roman" w:hAnsi="inherit" w:cs="Times New Roman"/>
                <w:color w:val="000000"/>
                <w:sz w:val="24"/>
                <w:szCs w:val="24"/>
                <w:lang w:eastAsia="en-GB"/>
              </w:rPr>
              <w:t>, insofar as</w:t>
            </w:r>
            <w:r w:rsidR="00437347" w:rsidRPr="00021AAB">
              <w:rPr>
                <w:rFonts w:ascii="inherit" w:eastAsia="Times New Roman" w:hAnsi="inherit" w:cs="Times New Roman"/>
                <w:color w:val="000000"/>
                <w:sz w:val="24"/>
                <w:szCs w:val="24"/>
                <w:lang w:eastAsia="en-GB"/>
              </w:rPr>
              <w:t xml:space="preserve"> not covered by the 20 largest</w:t>
            </w:r>
            <w:r w:rsidR="000A3A8F" w:rsidRPr="00021AAB">
              <w:rPr>
                <w:rFonts w:ascii="inherit" w:eastAsia="Times New Roman" w:hAnsi="inherit" w:cs="Times New Roman"/>
                <w:color w:val="000000"/>
                <w:sz w:val="24"/>
                <w:szCs w:val="24"/>
                <w:lang w:eastAsia="en-GB"/>
              </w:rPr>
              <w:t>, following the instructions set out in section S.30.02 of Annex II to this Regulation;</w:t>
            </w:r>
          </w:p>
        </w:tc>
      </w:tr>
    </w:tbl>
    <w:p w14:paraId="4FD35B79" w14:textId="77777777" w:rsidR="000A3A8F" w:rsidRPr="00021AAB"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B8ED523" w14:textId="77777777" w:rsidTr="000A3A8F">
        <w:tc>
          <w:tcPr>
            <w:tcW w:w="0" w:type="auto"/>
            <w:shd w:val="clear" w:color="auto" w:fill="FFFFFF"/>
            <w:hideMark/>
          </w:tcPr>
          <w:p w14:paraId="7A691043" w14:textId="77777777" w:rsidR="000A3A8F" w:rsidRPr="00021AAB" w:rsidRDefault="000A3A8F" w:rsidP="000A3A8F">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lastRenderedPageBreak/>
              <w:t>(c)</w:t>
            </w:r>
          </w:p>
        </w:tc>
        <w:tc>
          <w:tcPr>
            <w:tcW w:w="0" w:type="auto"/>
            <w:shd w:val="clear" w:color="auto" w:fill="FFFFFF"/>
            <w:hideMark/>
          </w:tcPr>
          <w:p w14:paraId="2BA1DC58" w14:textId="53B44FA6" w:rsidR="000A3A8F" w:rsidRPr="000A3A8F" w:rsidRDefault="00827A07" w:rsidP="006B0822">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where</w:t>
            </w:r>
            <w:r w:rsidRPr="00021AAB">
              <w:t xml:space="preserve"> </w:t>
            </w:r>
            <w:r w:rsidRPr="00021AAB">
              <w:rPr>
                <w:rFonts w:ascii="inherit" w:eastAsia="Times New Roman" w:hAnsi="inherit" w:cs="Times New Roman"/>
                <w:color w:val="000000"/>
                <w:sz w:val="24"/>
                <w:szCs w:val="24"/>
                <w:lang w:eastAsia="en-GB"/>
              </w:rPr>
              <w:t xml:space="preserve">reinsurance </w:t>
            </w:r>
            <w:proofErr w:type="spellStart"/>
            <w:r w:rsidRPr="00021AAB">
              <w:rPr>
                <w:rFonts w:ascii="inherit" w:eastAsia="Times New Roman" w:hAnsi="inherit" w:cs="Times New Roman"/>
                <w:color w:val="000000"/>
                <w:sz w:val="24"/>
                <w:szCs w:val="24"/>
                <w:lang w:eastAsia="en-GB"/>
              </w:rPr>
              <w:t>recoverables</w:t>
            </w:r>
            <w:proofErr w:type="spellEnd"/>
            <w:r w:rsidRPr="00021AAB">
              <w:rPr>
                <w:rFonts w:ascii="inherit" w:eastAsia="Times New Roman" w:hAnsi="inherit" w:cs="Times New Roman"/>
                <w:color w:val="000000"/>
                <w:sz w:val="24"/>
                <w:szCs w:val="24"/>
                <w:lang w:eastAsia="en-GB"/>
              </w:rPr>
              <w:t xml:space="preserve"> are higher than 10% of the </w:t>
            </w:r>
            <w:r w:rsidR="001D0BDE" w:rsidRPr="00021AAB">
              <w:rPr>
                <w:rFonts w:ascii="inherit" w:eastAsia="Times New Roman" w:hAnsi="inherit" w:cs="Times New Roman"/>
                <w:color w:val="000000"/>
                <w:sz w:val="24"/>
                <w:szCs w:val="24"/>
                <w:lang w:eastAsia="en-GB"/>
              </w:rPr>
              <w:t xml:space="preserve">total </w:t>
            </w:r>
            <w:r w:rsidR="00976712" w:rsidRPr="00021AAB">
              <w:rPr>
                <w:rFonts w:ascii="inherit" w:eastAsia="Times New Roman" w:hAnsi="inherit" w:cs="Times New Roman"/>
                <w:color w:val="000000"/>
                <w:sz w:val="24"/>
                <w:szCs w:val="24"/>
                <w:lang w:eastAsia="en-GB"/>
              </w:rPr>
              <w:t>b</w:t>
            </w:r>
            <w:r w:rsidRPr="00021AAB">
              <w:rPr>
                <w:rFonts w:ascii="inherit" w:eastAsia="Times New Roman" w:hAnsi="inherit" w:cs="Times New Roman"/>
                <w:color w:val="000000"/>
                <w:sz w:val="24"/>
                <w:szCs w:val="24"/>
                <w:lang w:eastAsia="en-GB"/>
              </w:rPr>
              <w:t xml:space="preserve">est </w:t>
            </w:r>
            <w:r w:rsidR="00976712" w:rsidRPr="00021AAB">
              <w:rPr>
                <w:rFonts w:ascii="inherit" w:eastAsia="Times New Roman" w:hAnsi="inherit" w:cs="Times New Roman"/>
                <w:color w:val="000000"/>
                <w:sz w:val="24"/>
                <w:szCs w:val="24"/>
                <w:lang w:eastAsia="en-GB"/>
              </w:rPr>
              <w:t>e</w:t>
            </w:r>
            <w:r w:rsidRPr="00021AAB">
              <w:rPr>
                <w:rFonts w:ascii="inherit" w:eastAsia="Times New Roman" w:hAnsi="inherit" w:cs="Times New Roman"/>
                <w:color w:val="000000"/>
                <w:sz w:val="24"/>
                <w:szCs w:val="24"/>
                <w:lang w:eastAsia="en-GB"/>
              </w:rPr>
              <w:t>stimate</w:t>
            </w:r>
            <w:r w:rsidR="0074694C">
              <w:rPr>
                <w:rFonts w:ascii="inherit" w:eastAsia="Times New Roman" w:hAnsi="inherit" w:cs="Times New Roman"/>
                <w:color w:val="000000"/>
                <w:sz w:val="24"/>
                <w:szCs w:val="24"/>
                <w:lang w:eastAsia="en-GB"/>
              </w:rPr>
              <w:t xml:space="preserve"> </w:t>
            </w:r>
            <w:r w:rsidR="0074694C" w:rsidRPr="0074694C">
              <w:rPr>
                <w:rFonts w:ascii="inherit" w:eastAsia="Times New Roman" w:hAnsi="inherit" w:cs="Times New Roman"/>
                <w:color w:val="000000"/>
                <w:sz w:val="24"/>
                <w:szCs w:val="24"/>
                <w:lang w:eastAsia="en-GB"/>
              </w:rPr>
              <w:t>calculated separately for life and non-life business</w:t>
            </w:r>
            <w:r w:rsidR="006B0822" w:rsidRPr="00021AAB">
              <w:rPr>
                <w:rFonts w:ascii="inherit" w:eastAsia="Times New Roman" w:hAnsi="inherit" w:cs="Times New Roman"/>
                <w:color w:val="000000"/>
                <w:sz w:val="24"/>
                <w:szCs w:val="24"/>
                <w:lang w:eastAsia="en-GB"/>
              </w:rPr>
              <w:t>,</w:t>
            </w:r>
            <w:r w:rsidRPr="00021AAB">
              <w:rPr>
                <w:rFonts w:ascii="inherit" w:eastAsia="Times New Roman" w:hAnsi="inherit" w:cs="Times New Roman"/>
                <w:color w:val="000000"/>
                <w:sz w:val="24"/>
                <w:szCs w:val="24"/>
                <w:lang w:eastAsia="en-GB"/>
              </w:rPr>
              <w:t xml:space="preserve"> </w:t>
            </w:r>
            <w:r w:rsidR="000A3A8F" w:rsidRPr="00021AAB">
              <w:rPr>
                <w:rFonts w:ascii="inherit" w:eastAsia="Times New Roman" w:hAnsi="inherit" w:cs="Times New Roman"/>
                <w:color w:val="000000"/>
                <w:sz w:val="24"/>
                <w:szCs w:val="24"/>
                <w:lang w:eastAsia="en-GB"/>
              </w:rPr>
              <w:t>template S.30.03.01 of Annex I, specifying information on the outgoing reinsurance program in the next reporting year covering prospective information on reinsurance treaties the period of validity of which includes or overlaps the next reporting year, following the instructions set out in section S.30.03 of Annex II;</w:t>
            </w:r>
          </w:p>
        </w:tc>
      </w:tr>
    </w:tbl>
    <w:p w14:paraId="3193904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20EF4C98" w14:textId="77777777" w:rsidTr="000A3A8F">
        <w:tc>
          <w:tcPr>
            <w:tcW w:w="0" w:type="auto"/>
            <w:shd w:val="clear" w:color="auto" w:fill="FFFFFF"/>
            <w:hideMark/>
          </w:tcPr>
          <w:p w14:paraId="0512073A" w14:textId="77777777" w:rsidR="000A3A8F" w:rsidRPr="00021AAB" w:rsidRDefault="000A3A8F" w:rsidP="000A3A8F">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(d)</w:t>
            </w:r>
          </w:p>
        </w:tc>
        <w:tc>
          <w:tcPr>
            <w:tcW w:w="0" w:type="auto"/>
            <w:shd w:val="clear" w:color="auto" w:fill="FFFFFF"/>
            <w:hideMark/>
          </w:tcPr>
          <w:p w14:paraId="1FABE7FB" w14:textId="58CA82AA" w:rsidR="000A3A8F" w:rsidRPr="00021AAB" w:rsidRDefault="00827A07" w:rsidP="001D0BDE">
            <w:pPr>
              <w:spacing w:before="120" w:after="0" w:line="240" w:lineRule="auto"/>
              <w:jc w:val="both"/>
              <w:rPr>
                <w:rFonts w:ascii="inherit" w:eastAsia="Times New Roman" w:hAnsi="inherit" w:cs="Times New Roman"/>
                <w:color w:val="000000"/>
                <w:sz w:val="24"/>
                <w:szCs w:val="24"/>
                <w:lang w:eastAsia="en-GB"/>
              </w:rPr>
            </w:pPr>
            <w:r w:rsidRPr="00021AAB">
              <w:rPr>
                <w:rFonts w:ascii="inherit" w:eastAsia="Times New Roman" w:hAnsi="inherit" w:cs="Times New Roman"/>
                <w:color w:val="000000"/>
                <w:sz w:val="24"/>
                <w:szCs w:val="24"/>
                <w:lang w:eastAsia="en-GB"/>
              </w:rPr>
              <w:t>where</w:t>
            </w:r>
            <w:r w:rsidRPr="00021AAB">
              <w:t xml:space="preserve"> </w:t>
            </w:r>
            <w:r w:rsidRPr="00021AAB">
              <w:rPr>
                <w:rFonts w:ascii="inherit" w:eastAsia="Times New Roman" w:hAnsi="inherit" w:cs="Times New Roman"/>
                <w:color w:val="000000"/>
                <w:sz w:val="24"/>
                <w:szCs w:val="24"/>
                <w:lang w:eastAsia="en-GB"/>
              </w:rPr>
              <w:t xml:space="preserve">reinsurance </w:t>
            </w:r>
            <w:proofErr w:type="spellStart"/>
            <w:r w:rsidRPr="00021AAB">
              <w:rPr>
                <w:rFonts w:ascii="inherit" w:eastAsia="Times New Roman" w:hAnsi="inherit" w:cs="Times New Roman"/>
                <w:color w:val="000000"/>
                <w:sz w:val="24"/>
                <w:szCs w:val="24"/>
                <w:lang w:eastAsia="en-GB"/>
              </w:rPr>
              <w:t>recoverables</w:t>
            </w:r>
            <w:proofErr w:type="spellEnd"/>
            <w:r w:rsidRPr="00021AAB">
              <w:rPr>
                <w:rFonts w:ascii="inherit" w:eastAsia="Times New Roman" w:hAnsi="inherit" w:cs="Times New Roman"/>
                <w:color w:val="000000"/>
                <w:sz w:val="24"/>
                <w:szCs w:val="24"/>
                <w:lang w:eastAsia="en-GB"/>
              </w:rPr>
              <w:t xml:space="preserve"> are higher than 10% of the </w:t>
            </w:r>
            <w:r w:rsidR="001D0BDE" w:rsidRPr="00021AAB">
              <w:rPr>
                <w:rFonts w:ascii="inherit" w:eastAsia="Times New Roman" w:hAnsi="inherit" w:cs="Times New Roman"/>
                <w:color w:val="000000"/>
                <w:sz w:val="24"/>
                <w:szCs w:val="24"/>
                <w:lang w:eastAsia="en-GB"/>
              </w:rPr>
              <w:t xml:space="preserve">total </w:t>
            </w:r>
            <w:r w:rsidR="00976712" w:rsidRPr="00021AAB">
              <w:rPr>
                <w:rFonts w:ascii="inherit" w:eastAsia="Times New Roman" w:hAnsi="inherit" w:cs="Times New Roman"/>
                <w:color w:val="000000"/>
                <w:sz w:val="24"/>
                <w:szCs w:val="24"/>
                <w:lang w:eastAsia="en-GB"/>
              </w:rPr>
              <w:t>b</w:t>
            </w:r>
            <w:r w:rsidRPr="00021AAB">
              <w:rPr>
                <w:rFonts w:ascii="inherit" w:eastAsia="Times New Roman" w:hAnsi="inherit" w:cs="Times New Roman"/>
                <w:color w:val="000000"/>
                <w:sz w:val="24"/>
                <w:szCs w:val="24"/>
                <w:lang w:eastAsia="en-GB"/>
              </w:rPr>
              <w:t xml:space="preserve">est </w:t>
            </w:r>
            <w:r w:rsidR="00976712" w:rsidRPr="00021AAB">
              <w:rPr>
                <w:rFonts w:ascii="inherit" w:eastAsia="Times New Roman" w:hAnsi="inherit" w:cs="Times New Roman"/>
                <w:color w:val="000000"/>
                <w:sz w:val="24"/>
                <w:szCs w:val="24"/>
                <w:lang w:eastAsia="en-GB"/>
              </w:rPr>
              <w:t>e</w:t>
            </w:r>
            <w:r w:rsidRPr="00021AAB">
              <w:rPr>
                <w:rFonts w:ascii="inherit" w:eastAsia="Times New Roman" w:hAnsi="inherit" w:cs="Times New Roman"/>
                <w:color w:val="000000"/>
                <w:sz w:val="24"/>
                <w:szCs w:val="24"/>
                <w:lang w:eastAsia="en-GB"/>
              </w:rPr>
              <w:t>stimate</w:t>
            </w:r>
            <w:r w:rsidR="0074694C">
              <w:rPr>
                <w:rFonts w:ascii="inherit" w:eastAsia="Times New Roman" w:hAnsi="inherit" w:cs="Times New Roman"/>
                <w:color w:val="000000"/>
                <w:sz w:val="24"/>
                <w:szCs w:val="24"/>
                <w:lang w:eastAsia="en-GB"/>
              </w:rPr>
              <w:t xml:space="preserve"> </w:t>
            </w:r>
            <w:r w:rsidR="0074694C" w:rsidRPr="0074694C">
              <w:rPr>
                <w:rFonts w:ascii="inherit" w:eastAsia="Times New Roman" w:hAnsi="inherit" w:cs="Times New Roman"/>
                <w:color w:val="000000"/>
                <w:sz w:val="24"/>
                <w:szCs w:val="24"/>
                <w:lang w:eastAsia="en-GB"/>
              </w:rPr>
              <w:t>calculated separately for life and non-life business</w:t>
            </w:r>
            <w:r w:rsidR="00976712" w:rsidRPr="00021AAB">
              <w:rPr>
                <w:rFonts w:ascii="inherit" w:eastAsia="Times New Roman" w:hAnsi="inherit" w:cs="Times New Roman"/>
                <w:color w:val="000000"/>
                <w:sz w:val="24"/>
                <w:szCs w:val="24"/>
                <w:lang w:eastAsia="en-GB"/>
              </w:rPr>
              <w:t>,</w:t>
            </w:r>
            <w:r w:rsidRPr="00021AAB">
              <w:rPr>
                <w:rFonts w:ascii="inherit" w:eastAsia="Times New Roman" w:hAnsi="inherit" w:cs="Times New Roman"/>
                <w:color w:val="000000"/>
                <w:sz w:val="24"/>
                <w:szCs w:val="24"/>
                <w:lang w:eastAsia="en-GB"/>
              </w:rPr>
              <w:t xml:space="preserve"> </w:t>
            </w:r>
            <w:r w:rsidR="000A3A8F" w:rsidRPr="00021AAB">
              <w:rPr>
                <w:rFonts w:ascii="inherit" w:eastAsia="Times New Roman" w:hAnsi="inherit" w:cs="Times New Roman"/>
                <w:color w:val="000000"/>
                <w:sz w:val="24"/>
                <w:szCs w:val="24"/>
                <w:lang w:eastAsia="en-GB"/>
              </w:rPr>
              <w:t>template S.30.04.01 of Annex I, specifying information on the outgoing reinsurance program in the next reporting year covering prospective</w:t>
            </w:r>
            <w:r w:rsidR="000A3A8F" w:rsidRPr="006E389D">
              <w:rPr>
                <w:rFonts w:ascii="inherit" w:eastAsia="Times New Roman" w:hAnsi="inherit" w:cs="Times New Roman"/>
                <w:color w:val="000000"/>
                <w:sz w:val="24"/>
                <w:szCs w:val="24"/>
                <w:lang w:eastAsia="en-GB"/>
              </w:rPr>
              <w:t xml:space="preserve"> information on reinsurance treaties the period of validity of which includes or overlaps the next reporting year, following the instructions set out in section S.30.04 of Annex II;</w:t>
            </w:r>
          </w:p>
        </w:tc>
      </w:tr>
    </w:tbl>
    <w:p w14:paraId="175A36D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0432437" w14:textId="77777777" w:rsidTr="000A3A8F">
        <w:tc>
          <w:tcPr>
            <w:tcW w:w="0" w:type="auto"/>
            <w:shd w:val="clear" w:color="auto" w:fill="FFFFFF"/>
            <w:hideMark/>
          </w:tcPr>
          <w:p w14:paraId="7AF6A4D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631F3BB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S.31.01.01 of Annex I, specifying information on the share of reinsurers, following the instructions set out in section S.31.01 of Annex II;</w:t>
            </w:r>
          </w:p>
        </w:tc>
      </w:tr>
    </w:tbl>
    <w:p w14:paraId="6AD11D0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42DE4EB4" w14:textId="77777777" w:rsidTr="000A3A8F">
        <w:tc>
          <w:tcPr>
            <w:tcW w:w="0" w:type="auto"/>
            <w:shd w:val="clear" w:color="auto" w:fill="FFFFFF"/>
            <w:hideMark/>
          </w:tcPr>
          <w:p w14:paraId="7354A26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10E8826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S.31.02.01 of Annex I, specifying information on special purpose vehicles from the perspective of the insurance or reinsurance undertaking transferring risk to the special purpose vehicles, following the instructions set out in section S.31.02 of Annex II.</w:t>
            </w:r>
          </w:p>
        </w:tc>
      </w:tr>
    </w:tbl>
    <w:p w14:paraId="657E2136" w14:textId="07A367B9" w:rsidR="000A3A8F" w:rsidRPr="000A3A8F" w:rsidRDefault="00075B03"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19</w:t>
      </w:r>
    </w:p>
    <w:p w14:paraId="32CCFBF2" w14:textId="24D28CE6" w:rsidR="000A3A8F" w:rsidRPr="000A3A8F" w:rsidRDefault="000A3A8F"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 xml:space="preserve">Annual quantitative templates for individual undertakings </w:t>
      </w:r>
      <w:r w:rsidR="002977F2">
        <w:rPr>
          <w:rFonts w:ascii="Times New Roman" w:eastAsia="Times New Roman" w:hAnsi="Times New Roman" w:cs="Times New Roman"/>
          <w:b/>
          <w:bCs/>
          <w:color w:val="000000"/>
          <w:sz w:val="24"/>
          <w:szCs w:val="24"/>
          <w:lang w:eastAsia="en-GB"/>
        </w:rPr>
        <w:t>and captive insurance and captive reinsurance undertakings</w:t>
      </w:r>
      <w:r w:rsidR="00C14074">
        <w:rPr>
          <w:rFonts w:ascii="Times New Roman" w:eastAsia="Times New Roman" w:hAnsi="Times New Roman" w:cs="Times New Roman"/>
          <w:b/>
          <w:bCs/>
          <w:color w:val="000000"/>
          <w:sz w:val="24"/>
          <w:szCs w:val="24"/>
          <w:lang w:eastAsia="en-GB"/>
        </w:rPr>
        <w:t xml:space="preserve"> </w:t>
      </w:r>
      <w:r w:rsidRPr="000A3A8F">
        <w:rPr>
          <w:rFonts w:ascii="Times New Roman" w:eastAsia="Times New Roman" w:hAnsi="Times New Roman" w:cs="Times New Roman"/>
          <w:b/>
          <w:bCs/>
          <w:color w:val="000000"/>
          <w:sz w:val="24"/>
          <w:szCs w:val="24"/>
          <w:lang w:eastAsia="en-GB"/>
        </w:rPr>
        <w:t xml:space="preserve">— </w:t>
      </w:r>
      <w:r w:rsidR="00C14074">
        <w:rPr>
          <w:rFonts w:ascii="Times New Roman" w:eastAsia="Times New Roman" w:hAnsi="Times New Roman" w:cs="Times New Roman"/>
          <w:b/>
          <w:bCs/>
          <w:color w:val="000000"/>
          <w:sz w:val="24"/>
          <w:szCs w:val="24"/>
          <w:lang w:eastAsia="en-GB"/>
        </w:rPr>
        <w:t>R</w:t>
      </w:r>
      <w:r w:rsidRPr="000A3A8F">
        <w:rPr>
          <w:rFonts w:ascii="Times New Roman" w:eastAsia="Times New Roman" w:hAnsi="Times New Roman" w:cs="Times New Roman"/>
          <w:b/>
          <w:bCs/>
          <w:color w:val="000000"/>
          <w:sz w:val="24"/>
          <w:szCs w:val="24"/>
          <w:lang w:eastAsia="en-GB"/>
        </w:rPr>
        <w:t>ing-fenced funds, material matching adjustment portfolios and remaining part information</w:t>
      </w:r>
    </w:p>
    <w:p w14:paraId="7CEA38E5" w14:textId="0AA07F49" w:rsidR="000A3A8F" w:rsidRDefault="000A3A8F" w:rsidP="00B64E59">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1.   Insurance and reinsurance undertakings </w:t>
      </w:r>
      <w:r w:rsidR="00B64E59">
        <w:rPr>
          <w:rFonts w:ascii="Times New Roman" w:eastAsia="Times New Roman" w:hAnsi="Times New Roman" w:cs="Times New Roman"/>
          <w:color w:val="000000"/>
          <w:sz w:val="24"/>
          <w:szCs w:val="24"/>
          <w:lang w:eastAsia="en-GB"/>
        </w:rPr>
        <w:t xml:space="preserve">and </w:t>
      </w:r>
      <w:r w:rsidR="00B64E59" w:rsidRPr="00B64E59">
        <w:rPr>
          <w:rFonts w:ascii="Times New Roman" w:eastAsia="Times New Roman" w:hAnsi="Times New Roman" w:cs="Times New Roman"/>
          <w:color w:val="000000"/>
          <w:sz w:val="24"/>
          <w:szCs w:val="24"/>
          <w:lang w:eastAsia="en-GB"/>
        </w:rPr>
        <w:t xml:space="preserve">captive insurance and captive reinsurance undertakings </w:t>
      </w:r>
      <w:r w:rsidRPr="000A3A8F">
        <w:rPr>
          <w:rFonts w:ascii="Times New Roman" w:eastAsia="Times New Roman" w:hAnsi="Times New Roman" w:cs="Times New Roman"/>
          <w:color w:val="000000"/>
          <w:sz w:val="24"/>
          <w:szCs w:val="24"/>
          <w:lang w:eastAsia="en-GB"/>
        </w:rPr>
        <w:t>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in relation to each material ring-fenced fund, each material matching adjustment portfolio and the remaining part, using the following templates:</w:t>
      </w:r>
    </w:p>
    <w:p w14:paraId="4A3FC32C" w14:textId="26165B3B"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SR.01.01.01 of Annex I, specifying the content of the submission, following the instructions set out in section S.01.01 of Annex II;</w:t>
      </w:r>
    </w:p>
    <w:p w14:paraId="42B6A1A1" w14:textId="30AA9F95"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Pr="000A3A8F">
        <w:rPr>
          <w:rFonts w:ascii="inherit" w:eastAsia="Times New Roman" w:hAnsi="inherit" w:cs="Times New Roman"/>
          <w:color w:val="000000"/>
          <w:sz w:val="24"/>
          <w:szCs w:val="24"/>
          <w:lang w:eastAsia="en-GB"/>
        </w:rPr>
        <w:t>for each material ring-fenced fund and for the remaining part, template SR.02.01.01 of Annex I, specifying balance sheet information using both the valuation in accordance with Article 75 of Directive 2009/138/EC and the valuation following the undertaking's financial statements, following the instructions set out in section S.02.01 of Annex II to this Regulation;</w:t>
      </w:r>
    </w:p>
    <w:p w14:paraId="221AD32E" w14:textId="65298117"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(c) </w:t>
      </w:r>
      <w:r w:rsidRPr="000A3A8F">
        <w:rPr>
          <w:rFonts w:ascii="inherit" w:eastAsia="Times New Roman" w:hAnsi="inherit" w:cs="Times New Roman"/>
          <w:color w:val="000000"/>
          <w:sz w:val="24"/>
          <w:szCs w:val="24"/>
          <w:lang w:eastAsia="en-GB"/>
        </w:rPr>
        <w:t>template SR.12.01.01 of Annex I, specifying information on life and health SLT technical provisions for each line of business as defined in Annex I of Delegated Regulation (EU) 2015/35, following the instructions set out in section S.12.01 of Annex II to this Regulation</w:t>
      </w:r>
      <w:r>
        <w:rPr>
          <w:rFonts w:ascii="inherit" w:eastAsia="Times New Roman" w:hAnsi="inherit" w:cs="Times New Roman"/>
          <w:color w:val="000000"/>
          <w:sz w:val="24"/>
          <w:szCs w:val="24"/>
          <w:lang w:eastAsia="en-GB"/>
        </w:rPr>
        <w:t>;</w:t>
      </w:r>
    </w:p>
    <w:p w14:paraId="044A31BE" w14:textId="684859F0"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(d) </w:t>
      </w:r>
      <w:r w:rsidRPr="000A3A8F">
        <w:rPr>
          <w:rFonts w:ascii="inherit" w:eastAsia="Times New Roman" w:hAnsi="inherit" w:cs="Times New Roman"/>
          <w:color w:val="000000"/>
          <w:sz w:val="24"/>
          <w:szCs w:val="24"/>
          <w:lang w:eastAsia="en-GB"/>
        </w:rPr>
        <w:t>template SR.17.01.01 of Annex I, specifying information on non-life technical provisions for each line of business as defined in Annex I of Delegated Regulation (EU) 2015/35, following the instructions set out in section S.17.01 of Annex II to this Regulation</w:t>
      </w:r>
      <w:r>
        <w:rPr>
          <w:rFonts w:ascii="inherit" w:eastAsia="Times New Roman" w:hAnsi="inherit" w:cs="Times New Roman"/>
          <w:color w:val="000000"/>
          <w:sz w:val="24"/>
          <w:szCs w:val="24"/>
          <w:lang w:eastAsia="en-GB"/>
        </w:rPr>
        <w:t>;</w:t>
      </w:r>
    </w:p>
    <w:p w14:paraId="3AAF371C" w14:textId="3AABB467"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075B03">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template SR.22.02.01 of Annex I, specifying information on the projection of future cash flows for the best estimate calculation by each material matching adjustment portfolio, following the instructions set out in section S.22.02 of Annex II</w:t>
      </w:r>
      <w:r>
        <w:rPr>
          <w:rFonts w:ascii="inherit" w:eastAsia="Times New Roman" w:hAnsi="inherit" w:cs="Times New Roman"/>
          <w:color w:val="000000"/>
          <w:sz w:val="24"/>
          <w:szCs w:val="24"/>
          <w:lang w:eastAsia="en-GB"/>
        </w:rPr>
        <w:t>;</w:t>
      </w:r>
    </w:p>
    <w:p w14:paraId="68349A39" w14:textId="5CA60306"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(f) </w:t>
      </w:r>
      <w:r w:rsidRPr="000A3A8F">
        <w:rPr>
          <w:rFonts w:ascii="inherit" w:eastAsia="Times New Roman" w:hAnsi="inherit" w:cs="Times New Roman"/>
          <w:color w:val="000000"/>
          <w:sz w:val="24"/>
          <w:szCs w:val="24"/>
          <w:lang w:eastAsia="en-GB"/>
        </w:rPr>
        <w:t>template SR.22.03.01 of Annex I, specifying information on the matching adjustment portfolios by each material matching adjustment portfolio, following the instructions set out in section S.22.03 of Annex II</w:t>
      </w:r>
      <w:r>
        <w:rPr>
          <w:rFonts w:ascii="inherit" w:eastAsia="Times New Roman" w:hAnsi="inherit" w:cs="Times New Roman"/>
          <w:color w:val="000000"/>
          <w:sz w:val="24"/>
          <w:szCs w:val="24"/>
          <w:lang w:eastAsia="en-GB"/>
        </w:rPr>
        <w:t>;</w:t>
      </w:r>
    </w:p>
    <w:p w14:paraId="67CEF07E" w14:textId="743A7F9A"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(g) </w:t>
      </w:r>
      <w:r w:rsidRPr="000A3A8F">
        <w:rPr>
          <w:rFonts w:ascii="inherit" w:eastAsia="Times New Roman" w:hAnsi="inherit" w:cs="Times New Roman"/>
          <w:color w:val="000000"/>
          <w:sz w:val="24"/>
          <w:szCs w:val="24"/>
          <w:lang w:eastAsia="en-GB"/>
        </w:rPr>
        <w:t>where the undertaking uses the standard formula for the calculation of the Solvency Capital Requirement, template SR.25.01.01 of Annex I, specifying the Solvency Capital Requirement, following the instructions set out in section S.25.01 of Annex II;</w:t>
      </w:r>
    </w:p>
    <w:p w14:paraId="033E1B81" w14:textId="58D8501A"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(h) </w:t>
      </w:r>
      <w:r w:rsidRPr="000A3A8F">
        <w:rPr>
          <w:rFonts w:ascii="inherit" w:eastAsia="Times New Roman" w:hAnsi="inherit" w:cs="Times New Roman"/>
          <w:color w:val="000000"/>
          <w:sz w:val="24"/>
          <w:szCs w:val="24"/>
          <w:lang w:eastAsia="en-GB"/>
        </w:rPr>
        <w:t xml:space="preserve">where the undertaking uses the a partial internal model </w:t>
      </w:r>
      <w:r>
        <w:rPr>
          <w:rFonts w:ascii="inherit" w:eastAsia="Times New Roman" w:hAnsi="inherit" w:cs="Times New Roman"/>
          <w:color w:val="000000"/>
          <w:sz w:val="24"/>
          <w:szCs w:val="24"/>
          <w:lang w:eastAsia="en-GB"/>
        </w:rPr>
        <w:t xml:space="preserve">or a full internal model </w:t>
      </w:r>
      <w:r w:rsidRPr="000A3A8F">
        <w:rPr>
          <w:rFonts w:ascii="inherit" w:eastAsia="Times New Roman" w:hAnsi="inherit" w:cs="Times New Roman"/>
          <w:color w:val="000000"/>
          <w:sz w:val="24"/>
          <w:szCs w:val="24"/>
          <w:lang w:eastAsia="en-GB"/>
        </w:rPr>
        <w:t>for the calculation of the Solvency Capital Requirement, template SR.25.0</w:t>
      </w:r>
      <w:r>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.01 of Annex I, specifying the Solvency Capital Requirement, following the instructions set out in section S.25.0</w:t>
      </w:r>
      <w:r>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w:t>
      </w:r>
      <w:r>
        <w:rPr>
          <w:rFonts w:ascii="inherit" w:eastAsia="Times New Roman" w:hAnsi="inherit" w:cs="Times New Roman"/>
          <w:color w:val="000000"/>
          <w:sz w:val="24"/>
          <w:szCs w:val="24"/>
          <w:lang w:eastAsia="en-GB"/>
        </w:rPr>
        <w:t>;</w:t>
      </w:r>
    </w:p>
    <w:p w14:paraId="7D85E2C3" w14:textId="0A7F7195"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t>
      </w: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SR.26.01.01 of Annex I, specifying information on market risk, following the instructions set out in section S.26.01 of Annex II</w:t>
      </w:r>
      <w:r>
        <w:rPr>
          <w:rFonts w:ascii="inherit" w:eastAsia="Times New Roman" w:hAnsi="inherit" w:cs="Times New Roman"/>
          <w:color w:val="000000"/>
          <w:sz w:val="24"/>
          <w:szCs w:val="24"/>
          <w:lang w:eastAsia="en-GB"/>
        </w:rPr>
        <w:t>;</w:t>
      </w:r>
    </w:p>
    <w:p w14:paraId="56350C36" w14:textId="57F5BC45"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(j)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SR.26.02.01 of Annex I, specifying information on counterparty default risk, following the instructions set out in section S.26.02 of Annex II</w:t>
      </w:r>
      <w:r>
        <w:rPr>
          <w:rFonts w:ascii="inherit" w:eastAsia="Times New Roman" w:hAnsi="inherit" w:cs="Times New Roman"/>
          <w:color w:val="000000"/>
          <w:sz w:val="24"/>
          <w:szCs w:val="24"/>
          <w:lang w:eastAsia="en-GB"/>
        </w:rPr>
        <w:t>;</w:t>
      </w:r>
    </w:p>
    <w:p w14:paraId="09448E84" w14:textId="4E94B70D"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(k)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SR.26.03.01 of Annex I, specifying information on life underwriting risk, following the instructions set out in section S.26.03 of Annex II</w:t>
      </w:r>
      <w:r>
        <w:rPr>
          <w:rFonts w:ascii="inherit" w:eastAsia="Times New Roman" w:hAnsi="inherit" w:cs="Times New Roman"/>
          <w:color w:val="000000"/>
          <w:sz w:val="24"/>
          <w:szCs w:val="24"/>
          <w:lang w:eastAsia="en-GB"/>
        </w:rPr>
        <w:t>;</w:t>
      </w:r>
    </w:p>
    <w:p w14:paraId="3A3F4E28" w14:textId="6A70B62D"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(l)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SR.26.04.01 of Annex I, specifying information on health underwriting risk, following the instructions set out in section S.26.04 of Annex II</w:t>
      </w:r>
      <w:r>
        <w:rPr>
          <w:rFonts w:ascii="inherit" w:eastAsia="Times New Roman" w:hAnsi="inherit" w:cs="Times New Roman"/>
          <w:color w:val="000000"/>
          <w:sz w:val="24"/>
          <w:szCs w:val="24"/>
          <w:lang w:eastAsia="en-GB"/>
        </w:rPr>
        <w:t>;</w:t>
      </w:r>
    </w:p>
    <w:p w14:paraId="0109C0FB" w14:textId="028528DB" w:rsidR="00075B03" w:rsidRDefault="00075B03" w:rsidP="00B64E59">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(m)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SR.26.05.01 of Annex I, specifying information on non-life underwriting risk, following the instructions set out in section S.26.05 of Annex II</w:t>
      </w:r>
      <w:r>
        <w:rPr>
          <w:rFonts w:ascii="inherit" w:eastAsia="Times New Roman" w:hAnsi="inherit" w:cs="Times New Roman"/>
          <w:color w:val="000000"/>
          <w:sz w:val="24"/>
          <w:szCs w:val="24"/>
          <w:lang w:eastAsia="en-GB"/>
        </w:rPr>
        <w:t>;</w:t>
      </w:r>
    </w:p>
    <w:p w14:paraId="497D0551" w14:textId="12991CA1" w:rsidR="00075B03" w:rsidRPr="000A3A8F" w:rsidRDefault="00075B03" w:rsidP="00B64E59">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inherit" w:eastAsia="Times New Roman" w:hAnsi="inherit" w:cs="Times New Roman"/>
          <w:color w:val="000000"/>
          <w:sz w:val="24"/>
          <w:szCs w:val="24"/>
          <w:lang w:eastAsia="en-GB"/>
        </w:rPr>
        <w:t xml:space="preserve">(n)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SR.26.06.01 of Annex I, specifying information on operational risk, following the instructions set out in section S.26.06 of Annex II</w:t>
      </w:r>
      <w:r>
        <w:rPr>
          <w:rFonts w:ascii="inherit" w:eastAsia="Times New Roman" w:hAnsi="inherit" w:cs="Times New Roman"/>
          <w:color w:val="000000"/>
          <w:sz w:val="24"/>
          <w:szCs w:val="24"/>
          <w:lang w:eastAsia="en-GB"/>
        </w:rPr>
        <w:t xml:space="preserve">; </w:t>
      </w:r>
    </w:p>
    <w:p w14:paraId="2D8D2FA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1BCA9B4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3815572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8959"/>
        <w:gridCol w:w="67"/>
      </w:tblGrid>
      <w:tr w:rsidR="000A3A8F" w:rsidRPr="000A7951" w14:paraId="1308C460" w14:textId="77777777" w:rsidTr="000A3A8F">
        <w:tc>
          <w:tcPr>
            <w:tcW w:w="0" w:type="auto"/>
            <w:shd w:val="clear" w:color="auto" w:fill="FFFFFF"/>
            <w:hideMark/>
          </w:tcPr>
          <w:p w14:paraId="0DCA98CD" w14:textId="77777777" w:rsidR="000A3A8F" w:rsidRPr="000A7951" w:rsidRDefault="000A3A8F" w:rsidP="000A7951">
            <w:pPr>
              <w:spacing w:before="120" w:after="0" w:line="240" w:lineRule="auto"/>
              <w:jc w:val="both"/>
              <w:rPr>
                <w:rFonts w:ascii="inherit" w:eastAsia="Times New Roman" w:hAnsi="inherit" w:cs="Times New Roman"/>
                <w:color w:val="000000"/>
                <w:sz w:val="24"/>
                <w:szCs w:val="24"/>
                <w:lang w:eastAsia="en-GB"/>
              </w:rPr>
            </w:pPr>
            <w:r w:rsidRPr="000A7951">
              <w:rPr>
                <w:rFonts w:ascii="inherit" w:eastAsia="Times New Roman" w:hAnsi="inherit" w:cs="Times New Roman"/>
                <w:color w:val="000000"/>
                <w:sz w:val="24"/>
                <w:szCs w:val="24"/>
                <w:lang w:eastAsia="en-GB"/>
              </w:rPr>
              <w:t>(o)</w:t>
            </w:r>
            <w:r w:rsidR="00075B03" w:rsidRPr="000A7951">
              <w:rPr>
                <w:rFonts w:ascii="inherit" w:eastAsia="Times New Roman" w:hAnsi="inherit" w:cs="Times New Roman"/>
                <w:color w:val="000000"/>
                <w:sz w:val="24"/>
                <w:szCs w:val="24"/>
                <w:lang w:eastAsia="en-GB"/>
              </w:rPr>
              <w:t xml:space="preserve"> template SR.26.07.01 of Annex I, specifying information on the simplifications used in the calculation of the Solvency Capital Requirement, following the instructions set out in section S.26.07 of Annex II;</w:t>
            </w:r>
          </w:p>
          <w:p w14:paraId="1380A98F" w14:textId="77777777" w:rsidR="00075B03" w:rsidRPr="000A7951" w:rsidRDefault="00075B03" w:rsidP="000A7951">
            <w:pPr>
              <w:spacing w:before="120" w:after="0" w:line="240" w:lineRule="auto"/>
              <w:jc w:val="both"/>
              <w:rPr>
                <w:rFonts w:ascii="inherit" w:eastAsia="Times New Roman" w:hAnsi="inherit" w:cs="Times New Roman"/>
                <w:color w:val="000000"/>
                <w:sz w:val="24"/>
                <w:szCs w:val="24"/>
                <w:lang w:eastAsia="en-GB"/>
              </w:rPr>
            </w:pPr>
            <w:r w:rsidRPr="000A7951">
              <w:rPr>
                <w:rFonts w:ascii="inherit" w:eastAsia="Times New Roman" w:hAnsi="inherit" w:cs="Times New Roman"/>
                <w:color w:val="000000"/>
                <w:sz w:val="24"/>
                <w:szCs w:val="24"/>
                <w:lang w:eastAsia="en-GB"/>
              </w:rPr>
              <w:t>(p) for undertakings using a partial internal model or a full internal model, template SR.26.08.01 of Annex I, specifying further information on the internal model used for the Solvency Capital Requirement, following the instructions set out in section S.26.08 of Annex II;</w:t>
            </w:r>
          </w:p>
          <w:p w14:paraId="25BC81BB" w14:textId="0D3857A2" w:rsidR="00075B03" w:rsidRPr="000A7951" w:rsidRDefault="00075B03" w:rsidP="000A7951">
            <w:pPr>
              <w:spacing w:before="120" w:after="0" w:line="240" w:lineRule="auto"/>
              <w:jc w:val="both"/>
              <w:rPr>
                <w:rFonts w:ascii="inherit" w:eastAsia="Times New Roman" w:hAnsi="inherit" w:cs="Times New Roman"/>
                <w:color w:val="000000"/>
                <w:sz w:val="24"/>
                <w:szCs w:val="24"/>
                <w:lang w:eastAsia="en-GB"/>
              </w:rPr>
            </w:pPr>
            <w:r w:rsidRPr="000A7951">
              <w:rPr>
                <w:rFonts w:ascii="inherit" w:eastAsia="Times New Roman" w:hAnsi="inherit" w:cs="Times New Roman"/>
                <w:color w:val="000000"/>
                <w:sz w:val="24"/>
                <w:szCs w:val="24"/>
                <w:lang w:eastAsia="en-GB"/>
              </w:rPr>
              <w:t xml:space="preserve">(q) </w:t>
            </w:r>
            <w:proofErr w:type="gramStart"/>
            <w:r w:rsidRPr="000A7951">
              <w:rPr>
                <w:rFonts w:ascii="inherit" w:eastAsia="Times New Roman" w:hAnsi="inherit" w:cs="Times New Roman"/>
                <w:color w:val="000000"/>
                <w:sz w:val="24"/>
                <w:szCs w:val="24"/>
                <w:lang w:eastAsia="en-GB"/>
              </w:rPr>
              <w:t>template</w:t>
            </w:r>
            <w:proofErr w:type="gramEnd"/>
            <w:r w:rsidRPr="000A7951">
              <w:rPr>
                <w:rFonts w:ascii="inherit" w:eastAsia="Times New Roman" w:hAnsi="inherit" w:cs="Times New Roman"/>
                <w:color w:val="000000"/>
                <w:sz w:val="24"/>
                <w:szCs w:val="24"/>
                <w:lang w:eastAsia="en-GB"/>
              </w:rPr>
              <w:t xml:space="preserve"> SR.27.01.01 of Annex I, specifying information on non-life catastrophe risk, following the instructions set out in section S.27.01 of Annex II</w:t>
            </w:r>
            <w:r w:rsidR="00B52FF6">
              <w:rPr>
                <w:rFonts w:ascii="inherit" w:eastAsia="Times New Roman" w:hAnsi="inherit" w:cs="Times New Roman"/>
                <w:color w:val="000000"/>
                <w:sz w:val="24"/>
                <w:szCs w:val="24"/>
                <w:lang w:eastAsia="en-GB"/>
              </w:rPr>
              <w:t>.</w:t>
            </w:r>
          </w:p>
        </w:tc>
        <w:tc>
          <w:tcPr>
            <w:tcW w:w="0" w:type="auto"/>
            <w:shd w:val="clear" w:color="auto" w:fill="FFFFFF"/>
            <w:hideMark/>
          </w:tcPr>
          <w:p w14:paraId="4BC9AD43" w14:textId="39BF75EB" w:rsidR="000A3A8F" w:rsidRPr="000A7951" w:rsidRDefault="000A3A8F" w:rsidP="000A7951">
            <w:pPr>
              <w:spacing w:before="120" w:after="0" w:line="240" w:lineRule="auto"/>
              <w:jc w:val="both"/>
              <w:rPr>
                <w:rFonts w:ascii="inherit" w:eastAsia="Times New Roman" w:hAnsi="inherit" w:cs="Times New Roman"/>
                <w:color w:val="000000"/>
                <w:sz w:val="24"/>
                <w:szCs w:val="24"/>
                <w:lang w:eastAsia="en-GB"/>
              </w:rPr>
            </w:pPr>
            <w:r w:rsidRPr="000A7951">
              <w:rPr>
                <w:rFonts w:ascii="inherit" w:eastAsia="Times New Roman" w:hAnsi="inherit" w:cs="Times New Roman"/>
                <w:color w:val="000000"/>
                <w:sz w:val="24"/>
                <w:szCs w:val="24"/>
                <w:lang w:eastAsia="en-GB"/>
              </w:rPr>
              <w:t>;</w:t>
            </w:r>
          </w:p>
        </w:tc>
      </w:tr>
    </w:tbl>
    <w:p w14:paraId="526252F7" w14:textId="77777777" w:rsidR="000A3A8F" w:rsidRPr="000A7951" w:rsidRDefault="000A3A8F" w:rsidP="000A7951">
      <w:pPr>
        <w:spacing w:after="0" w:line="240" w:lineRule="auto"/>
        <w:rPr>
          <w:rFonts w:ascii="Times New Roman" w:eastAsia="Times New Roman" w:hAnsi="Times New Roman" w:cs="Times New Roman"/>
          <w:vanish/>
          <w:sz w:val="24"/>
          <w:szCs w:val="24"/>
          <w:lang w:eastAsia="en-GB"/>
        </w:rPr>
      </w:pPr>
    </w:p>
    <w:p w14:paraId="0B083376" w14:textId="14C41A7B" w:rsidR="000A3A8F" w:rsidRPr="000A7951" w:rsidRDefault="000A3A8F" w:rsidP="000A7951">
      <w:pPr>
        <w:spacing w:before="120" w:after="0" w:line="240" w:lineRule="auto"/>
        <w:jc w:val="both"/>
        <w:rPr>
          <w:rFonts w:ascii="Times New Roman" w:eastAsia="Times New Roman" w:hAnsi="Times New Roman" w:cs="Times New Roman"/>
          <w:color w:val="000000"/>
          <w:sz w:val="24"/>
          <w:szCs w:val="24"/>
          <w:lang w:eastAsia="en-GB"/>
        </w:rPr>
      </w:pPr>
      <w:r w:rsidRPr="000A7951">
        <w:rPr>
          <w:rFonts w:ascii="Times New Roman" w:eastAsia="Times New Roman" w:hAnsi="Times New Roman" w:cs="Times New Roman"/>
          <w:color w:val="000000"/>
          <w:sz w:val="24"/>
          <w:szCs w:val="24"/>
          <w:lang w:eastAsia="en-GB"/>
        </w:rPr>
        <w:t>2.   Where a partial internal model is used, the templates referred to in points (</w:t>
      </w:r>
      <w:proofErr w:type="spellStart"/>
      <w:r w:rsidR="000A7951" w:rsidRPr="000A7951">
        <w:rPr>
          <w:rFonts w:ascii="Times New Roman" w:eastAsia="Times New Roman" w:hAnsi="Times New Roman" w:cs="Times New Roman"/>
          <w:color w:val="000000"/>
          <w:sz w:val="24"/>
          <w:szCs w:val="24"/>
          <w:lang w:eastAsia="en-GB"/>
        </w:rPr>
        <w:t>i</w:t>
      </w:r>
      <w:proofErr w:type="spellEnd"/>
      <w:r w:rsidRPr="000A7951">
        <w:rPr>
          <w:rFonts w:ascii="Times New Roman" w:eastAsia="Times New Roman" w:hAnsi="Times New Roman" w:cs="Times New Roman"/>
          <w:color w:val="000000"/>
          <w:sz w:val="24"/>
          <w:szCs w:val="24"/>
          <w:lang w:eastAsia="en-GB"/>
        </w:rPr>
        <w:t>) to (q) shall only be reported in relation to the risks covered by the standard formula</w:t>
      </w:r>
      <w:r w:rsidR="002977F2" w:rsidRPr="000A7951">
        <w:rPr>
          <w:rFonts w:ascii="Times New Roman" w:eastAsia="Times New Roman" w:hAnsi="Times New Roman" w:cs="Times New Roman"/>
          <w:color w:val="000000"/>
          <w:sz w:val="24"/>
          <w:szCs w:val="24"/>
          <w:lang w:eastAsia="en-GB"/>
        </w:rPr>
        <w:t xml:space="preserve"> and the template referred to</w:t>
      </w:r>
      <w:r w:rsidR="00073038" w:rsidRPr="000A7951">
        <w:rPr>
          <w:rFonts w:ascii="Times New Roman" w:eastAsia="Times New Roman" w:hAnsi="Times New Roman" w:cs="Times New Roman"/>
          <w:color w:val="000000"/>
          <w:sz w:val="24"/>
          <w:szCs w:val="24"/>
          <w:lang w:eastAsia="en-GB"/>
        </w:rPr>
        <w:t xml:space="preserve"> </w:t>
      </w:r>
      <w:r w:rsidR="002977F2" w:rsidRPr="000A7951">
        <w:rPr>
          <w:rFonts w:ascii="Times New Roman" w:eastAsia="Times New Roman" w:hAnsi="Times New Roman" w:cs="Times New Roman"/>
          <w:color w:val="000000"/>
          <w:sz w:val="24"/>
          <w:szCs w:val="24"/>
          <w:lang w:eastAsia="en-GB"/>
        </w:rPr>
        <w:t>in point (</w:t>
      </w:r>
      <w:r w:rsidR="000A7951" w:rsidRPr="000A7951">
        <w:rPr>
          <w:rFonts w:ascii="Times New Roman" w:eastAsia="Times New Roman" w:hAnsi="Times New Roman" w:cs="Times New Roman"/>
          <w:color w:val="000000"/>
          <w:sz w:val="24"/>
          <w:szCs w:val="24"/>
          <w:lang w:eastAsia="en-GB"/>
        </w:rPr>
        <w:t>p</w:t>
      </w:r>
      <w:r w:rsidR="002977F2" w:rsidRPr="000A7951">
        <w:rPr>
          <w:rFonts w:ascii="Times New Roman" w:eastAsia="Times New Roman" w:hAnsi="Times New Roman" w:cs="Times New Roman"/>
          <w:color w:val="000000"/>
          <w:sz w:val="24"/>
          <w:szCs w:val="24"/>
          <w:lang w:eastAsia="en-GB"/>
        </w:rPr>
        <w:t>) shall be reported in relation to the risks covered by the internal model</w:t>
      </w:r>
      <w:r w:rsidRPr="000A7951">
        <w:rPr>
          <w:rFonts w:ascii="Times New Roman" w:eastAsia="Times New Roman" w:hAnsi="Times New Roman" w:cs="Times New Roman"/>
          <w:color w:val="000000"/>
          <w:sz w:val="24"/>
          <w:szCs w:val="24"/>
          <w:lang w:eastAsia="en-GB"/>
        </w:rPr>
        <w:t>.</w:t>
      </w:r>
    </w:p>
    <w:p w14:paraId="54AAE7D8" w14:textId="074C369A" w:rsidR="000A3A8F" w:rsidRDefault="000A3A8F" w:rsidP="000A7951">
      <w:pPr>
        <w:spacing w:before="120" w:after="0" w:line="240" w:lineRule="auto"/>
        <w:jc w:val="both"/>
        <w:rPr>
          <w:rFonts w:ascii="Times New Roman" w:eastAsia="Times New Roman" w:hAnsi="Times New Roman" w:cs="Times New Roman"/>
          <w:color w:val="000000"/>
          <w:sz w:val="24"/>
          <w:szCs w:val="24"/>
          <w:lang w:eastAsia="en-GB"/>
        </w:rPr>
      </w:pPr>
      <w:r w:rsidRPr="000A7951">
        <w:rPr>
          <w:rFonts w:ascii="Times New Roman" w:eastAsia="Times New Roman" w:hAnsi="Times New Roman" w:cs="Times New Roman"/>
          <w:color w:val="000000"/>
          <w:sz w:val="24"/>
          <w:szCs w:val="24"/>
          <w:lang w:eastAsia="en-GB"/>
        </w:rPr>
        <w:t>3.   Where a full internal model is used, the templates referred to in points (</w:t>
      </w:r>
      <w:proofErr w:type="spellStart"/>
      <w:r w:rsidR="000A7951" w:rsidRPr="000A7951">
        <w:rPr>
          <w:rFonts w:ascii="Times New Roman" w:eastAsia="Times New Roman" w:hAnsi="Times New Roman" w:cs="Times New Roman"/>
          <w:color w:val="000000"/>
          <w:sz w:val="24"/>
          <w:szCs w:val="24"/>
          <w:lang w:eastAsia="en-GB"/>
        </w:rPr>
        <w:t>i</w:t>
      </w:r>
      <w:proofErr w:type="spellEnd"/>
      <w:r w:rsidRPr="000A7951">
        <w:rPr>
          <w:rFonts w:ascii="Times New Roman" w:eastAsia="Times New Roman" w:hAnsi="Times New Roman" w:cs="Times New Roman"/>
          <w:color w:val="000000"/>
          <w:sz w:val="24"/>
          <w:szCs w:val="24"/>
          <w:lang w:eastAsia="en-GB"/>
        </w:rPr>
        <w:t>) to (q) shall not be reported</w:t>
      </w:r>
      <w:r w:rsidR="007817AA" w:rsidRPr="000A7951">
        <w:rPr>
          <w:rFonts w:ascii="Times New Roman" w:eastAsia="Times New Roman" w:hAnsi="Times New Roman" w:cs="Times New Roman"/>
          <w:color w:val="000000"/>
          <w:sz w:val="24"/>
          <w:szCs w:val="24"/>
          <w:lang w:eastAsia="en-GB"/>
        </w:rPr>
        <w:t xml:space="preserve"> and template referred to in point (</w:t>
      </w:r>
      <w:r w:rsidR="000A7951" w:rsidRPr="000A7951">
        <w:rPr>
          <w:rFonts w:ascii="Times New Roman" w:eastAsia="Times New Roman" w:hAnsi="Times New Roman" w:cs="Times New Roman"/>
          <w:color w:val="000000"/>
          <w:sz w:val="24"/>
          <w:szCs w:val="24"/>
          <w:lang w:eastAsia="en-GB"/>
        </w:rPr>
        <w:t>p</w:t>
      </w:r>
      <w:r w:rsidR="007817AA" w:rsidRPr="000A7951">
        <w:rPr>
          <w:rFonts w:ascii="Times New Roman" w:eastAsia="Times New Roman" w:hAnsi="Times New Roman" w:cs="Times New Roman"/>
          <w:color w:val="000000"/>
          <w:sz w:val="24"/>
          <w:szCs w:val="24"/>
          <w:lang w:eastAsia="en-GB"/>
        </w:rPr>
        <w:t>) shall be reported</w:t>
      </w:r>
      <w:r w:rsidRPr="000A7951">
        <w:rPr>
          <w:rFonts w:ascii="Times New Roman" w:eastAsia="Times New Roman" w:hAnsi="Times New Roman" w:cs="Times New Roman"/>
          <w:color w:val="000000"/>
          <w:sz w:val="24"/>
          <w:szCs w:val="24"/>
          <w:lang w:eastAsia="en-GB"/>
        </w:rPr>
        <w:t>.</w:t>
      </w:r>
    </w:p>
    <w:p w14:paraId="11D7619A" w14:textId="5578D35D" w:rsidR="00E220EE" w:rsidRDefault="00E220EE" w:rsidP="000A7951">
      <w:pPr>
        <w:spacing w:before="120" w:after="0" w:line="240" w:lineRule="auto"/>
        <w:jc w:val="both"/>
        <w:rPr>
          <w:rFonts w:ascii="Times New Roman" w:eastAsia="Times New Roman" w:hAnsi="Times New Roman" w:cs="Times New Roman"/>
          <w:color w:val="000000"/>
          <w:sz w:val="24"/>
          <w:szCs w:val="24"/>
          <w:lang w:eastAsia="en-GB"/>
        </w:rPr>
      </w:pPr>
    </w:p>
    <w:p w14:paraId="17517B44" w14:textId="77777777" w:rsidR="00E220EE" w:rsidRPr="000A3A8F" w:rsidRDefault="00E220EE" w:rsidP="000A7951">
      <w:pPr>
        <w:spacing w:before="120" w:after="0" w:line="240" w:lineRule="auto"/>
        <w:jc w:val="both"/>
        <w:rPr>
          <w:rFonts w:ascii="Times New Roman" w:eastAsia="Times New Roman" w:hAnsi="Times New Roman" w:cs="Times New Roman"/>
          <w:color w:val="000000"/>
          <w:sz w:val="24"/>
          <w:szCs w:val="24"/>
          <w:lang w:eastAsia="en-GB"/>
        </w:rPr>
      </w:pPr>
    </w:p>
    <w:p w14:paraId="162E642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lastRenderedPageBreak/>
        <w:t>Article 20</w:t>
      </w:r>
    </w:p>
    <w:p w14:paraId="0CC56159" w14:textId="72F06522"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individual undertakings — intra-group-transactions information</w:t>
      </w:r>
    </w:p>
    <w:p w14:paraId="0B344EC1" w14:textId="7D9CCF36"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 reinsurance undertakings which are not part of a group referred to in points (a), (b) or (c) of Article 213(2) of Directive 2009/138/EC and the parent undertaking of which is a mixed-activity insurance holding company shall submit annually the information referred to in the second subparagraph of Article 245(2) of that Directive, in conjunction with Article 265 of that Directive, using the following templates:</w:t>
      </w:r>
    </w:p>
    <w:p w14:paraId="03C63565" w14:textId="759A09BC" w:rsidR="00E220EE" w:rsidRDefault="00E220EE"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(a)</w:t>
      </w:r>
      <w:r w:rsidRPr="00E220EE">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template S.36.01.01 of Annex I, specifying information on significant intra-group-transactions, involving equity-type transactions, debt and asset transfer, following the instructions set out in section S.36.01 of Annex II;</w:t>
      </w:r>
    </w:p>
    <w:p w14:paraId="3174649D" w14:textId="074D31CF" w:rsidR="00E220EE" w:rsidRDefault="00E220EE"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(b) </w:t>
      </w:r>
      <w:r w:rsidRPr="000A3A8F">
        <w:rPr>
          <w:rFonts w:ascii="inherit" w:eastAsia="Times New Roman" w:hAnsi="inherit" w:cs="Times New Roman"/>
          <w:color w:val="000000"/>
          <w:sz w:val="24"/>
          <w:szCs w:val="24"/>
          <w:lang w:eastAsia="en-GB"/>
        </w:rPr>
        <w:t>template S.36.02.01 of Annex I, specifying information on significant intra-group-transactions on derivatives, including the guarantees supporting any derivatives instruments, following the instructions set out in section S.36.02 of Annex II;</w:t>
      </w:r>
    </w:p>
    <w:p w14:paraId="377C7A49" w14:textId="1FC27DF1" w:rsidR="00E220EE" w:rsidRDefault="00E220EE"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(c)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S.36.03.01 of Annex I, specifying information on significant intra-group-transactions on </w:t>
      </w:r>
      <w:r>
        <w:rPr>
          <w:rFonts w:ascii="inherit" w:eastAsia="Times New Roman" w:hAnsi="inherit" w:cs="Times New Roman"/>
          <w:color w:val="000000"/>
          <w:sz w:val="24"/>
          <w:szCs w:val="24"/>
          <w:lang w:eastAsia="en-GB"/>
        </w:rPr>
        <w:t>o</w:t>
      </w:r>
      <w:r w:rsidRPr="00CE37CB">
        <w:rPr>
          <w:rFonts w:ascii="inherit" w:eastAsia="Times New Roman" w:hAnsi="inherit" w:cs="Times New Roman"/>
          <w:color w:val="000000"/>
          <w:sz w:val="24"/>
          <w:szCs w:val="24"/>
          <w:lang w:eastAsia="en-GB"/>
        </w:rPr>
        <w:t>ff-balance sheet and contingent liabilities</w:t>
      </w:r>
      <w:r w:rsidRPr="000A3A8F">
        <w:rPr>
          <w:rFonts w:ascii="inherit" w:eastAsia="Times New Roman" w:hAnsi="inherit" w:cs="Times New Roman"/>
          <w:color w:val="000000"/>
          <w:sz w:val="24"/>
          <w:szCs w:val="24"/>
          <w:lang w:eastAsia="en-GB"/>
        </w:rPr>
        <w:t>, following the instructions set out in section S.36.03 of Annex II;</w:t>
      </w:r>
    </w:p>
    <w:p w14:paraId="05F4B1A0" w14:textId="0A749A78" w:rsidR="00E220EE" w:rsidRDefault="00E220EE" w:rsidP="00E220EE">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(d)</w:t>
      </w:r>
      <w:r w:rsidRPr="00E220EE">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S.36.04.01 of Annex I, specifying information on significant intra-group-transactions on </w:t>
      </w:r>
      <w:r>
        <w:rPr>
          <w:rFonts w:ascii="inherit" w:eastAsia="Times New Roman" w:hAnsi="inherit" w:cs="Times New Roman"/>
          <w:color w:val="000000"/>
          <w:sz w:val="24"/>
          <w:szCs w:val="24"/>
          <w:lang w:eastAsia="en-GB"/>
        </w:rPr>
        <w:t>insurance and r</w:t>
      </w:r>
      <w:r w:rsidRPr="00CE37CB">
        <w:rPr>
          <w:rFonts w:ascii="inherit" w:eastAsia="Times New Roman" w:hAnsi="inherit" w:cs="Times New Roman"/>
          <w:color w:val="000000"/>
          <w:sz w:val="24"/>
          <w:szCs w:val="24"/>
          <w:lang w:eastAsia="en-GB"/>
        </w:rPr>
        <w:t>einsurance</w:t>
      </w:r>
      <w:r w:rsidRPr="000A3A8F">
        <w:rPr>
          <w:rFonts w:ascii="inherit" w:eastAsia="Times New Roman" w:hAnsi="inherit" w:cs="Times New Roman"/>
          <w:color w:val="000000"/>
          <w:sz w:val="24"/>
          <w:szCs w:val="24"/>
          <w:lang w:eastAsia="en-GB"/>
        </w:rPr>
        <w:t>, following the instructions set out in section S.36.04 of Anne</w:t>
      </w:r>
      <w:r>
        <w:rPr>
          <w:rFonts w:ascii="inherit" w:eastAsia="Times New Roman" w:hAnsi="inherit" w:cs="Times New Roman"/>
          <w:color w:val="000000"/>
          <w:sz w:val="24"/>
          <w:szCs w:val="24"/>
          <w:lang w:eastAsia="en-GB"/>
        </w:rPr>
        <w:t>x II;</w:t>
      </w:r>
    </w:p>
    <w:p w14:paraId="3656ACAF" w14:textId="5CBEF77E" w:rsidR="00E220EE" w:rsidRDefault="00E220EE" w:rsidP="00E220EE">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E220EE">
        <w:rPr>
          <w:rFonts w:ascii="inherit" w:eastAsia="Times New Roman" w:hAnsi="inherit" w:cs="Times New Roman"/>
          <w:color w:val="000000"/>
          <w:sz w:val="24"/>
          <w:szCs w:val="24"/>
          <w:lang w:eastAsia="en-GB"/>
        </w:rPr>
        <w:t xml:space="preserve"> </w:t>
      </w:r>
      <w:proofErr w:type="gramStart"/>
      <w:r>
        <w:rPr>
          <w:rFonts w:ascii="inherit" w:eastAsia="Times New Roman" w:hAnsi="inherit" w:cs="Times New Roman"/>
          <w:color w:val="000000"/>
          <w:sz w:val="24"/>
          <w:szCs w:val="24"/>
          <w:lang w:eastAsia="en-GB"/>
        </w:rPr>
        <w:t>template</w:t>
      </w:r>
      <w:proofErr w:type="gramEnd"/>
      <w:r>
        <w:rPr>
          <w:rFonts w:ascii="inherit" w:eastAsia="Times New Roman" w:hAnsi="inherit" w:cs="Times New Roman"/>
          <w:color w:val="000000"/>
          <w:sz w:val="24"/>
          <w:szCs w:val="24"/>
          <w:lang w:eastAsia="en-GB"/>
        </w:rPr>
        <w:t xml:space="preserve"> S.36.05.01 of Annex I, specifying information on significant intra-group transactions on profit and loss, following the instructions set out in section S.36.05 of Annex II.</w:t>
      </w:r>
    </w:p>
    <w:p w14:paraId="1358CC4A" w14:textId="77777777"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21</w:t>
      </w:r>
    </w:p>
    <w:p w14:paraId="50A1F81E" w14:textId="30D22AD8"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Quantitative templates for individual undertakings — intra-group transactions information</w:t>
      </w:r>
    </w:p>
    <w:p w14:paraId="70B86A71" w14:textId="1A7351D5"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Insurance and reinsurance undertakings which are not part of a group referred to in points (a), (b) or (c) of Article 213(2) of Directive 2009/138/EC and the parent undertaking of which is a mixed-activity insurance holding company shall report very significant intra-group transactions referred to in the second subparagraph of Article 245(2) of that Directive, in conjunction with Article 265 of that Directive, and intra-group transactions to be reported in all circumstances referred to in Article 245(3) of that Directive, in conjunction with Article 265 of that Directive, as soon as practicable using the relevant templates among templates S.36.0</w:t>
      </w:r>
      <w:r w:rsidR="00A61689">
        <w:rPr>
          <w:rFonts w:ascii="Times New Roman" w:eastAsia="Times New Roman" w:hAnsi="Times New Roman" w:cs="Times New Roman"/>
          <w:color w:val="000000"/>
          <w:sz w:val="24"/>
          <w:szCs w:val="24"/>
          <w:lang w:eastAsia="en-GB"/>
        </w:rPr>
        <w:t>0</w:t>
      </w:r>
      <w:r w:rsidRPr="000A3A8F">
        <w:rPr>
          <w:rFonts w:ascii="Times New Roman" w:eastAsia="Times New Roman" w:hAnsi="Times New Roman" w:cs="Times New Roman"/>
          <w:color w:val="000000"/>
          <w:sz w:val="24"/>
          <w:szCs w:val="24"/>
          <w:lang w:eastAsia="en-GB"/>
        </w:rPr>
        <w:t>.01 to S.36.0</w:t>
      </w:r>
      <w:r w:rsidR="00CE37CB">
        <w:rPr>
          <w:rFonts w:ascii="Times New Roman" w:eastAsia="Times New Roman" w:hAnsi="Times New Roman" w:cs="Times New Roman"/>
          <w:color w:val="000000"/>
          <w:sz w:val="24"/>
          <w:szCs w:val="24"/>
          <w:lang w:eastAsia="en-GB"/>
        </w:rPr>
        <w:t>5</w:t>
      </w:r>
      <w:r w:rsidRPr="000A3A8F">
        <w:rPr>
          <w:rFonts w:ascii="Times New Roman" w:eastAsia="Times New Roman" w:hAnsi="Times New Roman" w:cs="Times New Roman"/>
          <w:color w:val="000000"/>
          <w:sz w:val="24"/>
          <w:szCs w:val="24"/>
          <w:lang w:eastAsia="en-GB"/>
        </w:rPr>
        <w:t>.01 of Annex I to this Regulation, following the instructions set out in section S.36.0</w:t>
      </w:r>
      <w:r w:rsidR="00A61689">
        <w:rPr>
          <w:rFonts w:ascii="Times New Roman" w:eastAsia="Times New Roman" w:hAnsi="Times New Roman" w:cs="Times New Roman"/>
          <w:color w:val="000000"/>
          <w:sz w:val="24"/>
          <w:szCs w:val="24"/>
          <w:lang w:eastAsia="en-GB"/>
        </w:rPr>
        <w:t>0</w:t>
      </w:r>
      <w:r w:rsidRPr="000A3A8F">
        <w:rPr>
          <w:rFonts w:ascii="Times New Roman" w:eastAsia="Times New Roman" w:hAnsi="Times New Roman" w:cs="Times New Roman"/>
          <w:color w:val="000000"/>
          <w:sz w:val="24"/>
          <w:szCs w:val="24"/>
          <w:lang w:eastAsia="en-GB"/>
        </w:rPr>
        <w:t xml:space="preserve"> to S.36.0</w:t>
      </w:r>
      <w:r w:rsidR="00CE37CB">
        <w:rPr>
          <w:rFonts w:ascii="Times New Roman" w:eastAsia="Times New Roman" w:hAnsi="Times New Roman" w:cs="Times New Roman"/>
          <w:color w:val="000000"/>
          <w:sz w:val="24"/>
          <w:szCs w:val="24"/>
          <w:lang w:eastAsia="en-GB"/>
        </w:rPr>
        <w:t>5</w:t>
      </w:r>
      <w:r w:rsidRPr="000A3A8F">
        <w:rPr>
          <w:rFonts w:ascii="Times New Roman" w:eastAsia="Times New Roman" w:hAnsi="Times New Roman" w:cs="Times New Roman"/>
          <w:color w:val="000000"/>
          <w:sz w:val="24"/>
          <w:szCs w:val="24"/>
          <w:lang w:eastAsia="en-GB"/>
        </w:rPr>
        <w:t xml:space="preserve"> of Annex II to this Regulation.</w:t>
      </w: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2B3B20" w:rsidRPr="0033578E" w14:paraId="3D7AC474" w14:textId="77777777" w:rsidTr="00935DC6">
        <w:tc>
          <w:tcPr>
            <w:tcW w:w="0" w:type="auto"/>
            <w:shd w:val="clear" w:color="auto" w:fill="FFFFFF"/>
            <w:hideMark/>
          </w:tcPr>
          <w:p w14:paraId="018DD79F" w14:textId="77777777" w:rsidR="002B3B20" w:rsidRPr="000A3A8F" w:rsidRDefault="002B3B20" w:rsidP="00935DC6">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3995A8D5" w14:textId="77777777" w:rsidR="002B3B20" w:rsidRPr="000A3A8F" w:rsidRDefault="002B3B20" w:rsidP="002B3B20">
            <w:pPr>
              <w:spacing w:before="120" w:after="0" w:line="240" w:lineRule="auto"/>
              <w:jc w:val="both"/>
              <w:rPr>
                <w:rFonts w:ascii="inherit" w:eastAsia="Times New Roman" w:hAnsi="inherit" w:cs="Times New Roman"/>
                <w:color w:val="000000"/>
                <w:sz w:val="24"/>
                <w:szCs w:val="24"/>
                <w:lang w:eastAsia="en-GB"/>
              </w:rPr>
            </w:pPr>
          </w:p>
        </w:tc>
      </w:tr>
    </w:tbl>
    <w:p w14:paraId="29CF699D" w14:textId="77777777" w:rsidR="000A3A8F" w:rsidRPr="000A3A8F" w:rsidRDefault="000A3A8F" w:rsidP="000A3A8F">
      <w:pPr>
        <w:shd w:val="clear" w:color="auto" w:fill="FFFFFF"/>
        <w:spacing w:before="480" w:after="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CHAPTER III</w:t>
      </w:r>
    </w:p>
    <w:p w14:paraId="15136CDA" w14:textId="77777777" w:rsidR="000A3A8F" w:rsidRPr="000A3A8F" w:rsidRDefault="000A3A8F" w:rsidP="000A3A8F">
      <w:pPr>
        <w:shd w:val="clear" w:color="auto" w:fill="FFFFFF"/>
        <w:spacing w:before="75" w:after="120" w:line="240" w:lineRule="auto"/>
        <w:jc w:val="center"/>
        <w:rPr>
          <w:rFonts w:ascii="Times New Roman" w:eastAsia="Times New Roman" w:hAnsi="Times New Roman" w:cs="Times New Roman"/>
          <w:b/>
          <w:bCs/>
          <w:color w:val="000000"/>
          <w:sz w:val="24"/>
          <w:szCs w:val="24"/>
          <w:lang w:eastAsia="en-GB"/>
        </w:rPr>
      </w:pPr>
      <w:r w:rsidRPr="000A3A8F">
        <w:rPr>
          <w:rFonts w:ascii="inherit" w:eastAsia="Times New Roman" w:hAnsi="inherit" w:cs="Times New Roman"/>
          <w:b/>
          <w:bCs/>
          <w:color w:val="000000"/>
          <w:sz w:val="24"/>
          <w:szCs w:val="24"/>
          <w:lang w:eastAsia="en-GB"/>
        </w:rPr>
        <w:t>QUANTITATIVE REPORTING TEMPLATES FOR GROUPS</w:t>
      </w:r>
    </w:p>
    <w:p w14:paraId="3E1159C9" w14:textId="71AA39BF" w:rsidR="000A3A8F" w:rsidRPr="007F2CD5"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val="fr-FR" w:eastAsia="en-GB"/>
        </w:rPr>
      </w:pPr>
      <w:r w:rsidRPr="007F2CD5">
        <w:rPr>
          <w:rFonts w:ascii="Times New Roman" w:eastAsia="Times New Roman" w:hAnsi="Times New Roman" w:cs="Times New Roman"/>
          <w:i/>
          <w:iCs/>
          <w:color w:val="000000"/>
          <w:sz w:val="24"/>
          <w:szCs w:val="24"/>
          <w:lang w:val="fr-FR" w:eastAsia="en-GB"/>
        </w:rPr>
        <w:lastRenderedPageBreak/>
        <w:t>Article 2</w:t>
      </w:r>
      <w:r w:rsidR="001A66FA">
        <w:rPr>
          <w:rFonts w:ascii="Times New Roman" w:eastAsia="Times New Roman" w:hAnsi="Times New Roman" w:cs="Times New Roman"/>
          <w:i/>
          <w:iCs/>
          <w:color w:val="000000"/>
          <w:sz w:val="24"/>
          <w:szCs w:val="24"/>
          <w:lang w:val="fr-FR" w:eastAsia="en-GB"/>
        </w:rPr>
        <w:t>2</w:t>
      </w:r>
    </w:p>
    <w:p w14:paraId="3AAE3881" w14:textId="77777777" w:rsidR="000A3A8F" w:rsidRPr="007F2CD5"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val="fr-FR" w:eastAsia="en-GB"/>
        </w:rPr>
      </w:pPr>
      <w:proofErr w:type="spellStart"/>
      <w:r w:rsidRPr="007F2CD5">
        <w:rPr>
          <w:rFonts w:ascii="Times New Roman" w:eastAsia="Times New Roman" w:hAnsi="Times New Roman" w:cs="Times New Roman"/>
          <w:b/>
          <w:bCs/>
          <w:color w:val="000000"/>
          <w:sz w:val="24"/>
          <w:szCs w:val="24"/>
          <w:lang w:val="fr-FR" w:eastAsia="en-GB"/>
        </w:rPr>
        <w:t>Quarterly</w:t>
      </w:r>
      <w:proofErr w:type="spellEnd"/>
      <w:r w:rsidRPr="007F2CD5">
        <w:rPr>
          <w:rFonts w:ascii="Times New Roman" w:eastAsia="Times New Roman" w:hAnsi="Times New Roman" w:cs="Times New Roman"/>
          <w:b/>
          <w:bCs/>
          <w:color w:val="000000"/>
          <w:sz w:val="24"/>
          <w:szCs w:val="24"/>
          <w:lang w:val="fr-FR" w:eastAsia="en-GB"/>
        </w:rPr>
        <w:t xml:space="preserve"> quantitative </w:t>
      </w:r>
      <w:proofErr w:type="spellStart"/>
      <w:r w:rsidRPr="007F2CD5">
        <w:rPr>
          <w:rFonts w:ascii="Times New Roman" w:eastAsia="Times New Roman" w:hAnsi="Times New Roman" w:cs="Times New Roman"/>
          <w:b/>
          <w:bCs/>
          <w:color w:val="000000"/>
          <w:sz w:val="24"/>
          <w:szCs w:val="24"/>
          <w:lang w:val="fr-FR" w:eastAsia="en-GB"/>
        </w:rPr>
        <w:t>templates</w:t>
      </w:r>
      <w:proofErr w:type="spellEnd"/>
      <w:r w:rsidRPr="007F2CD5">
        <w:rPr>
          <w:rFonts w:ascii="Times New Roman" w:eastAsia="Times New Roman" w:hAnsi="Times New Roman" w:cs="Times New Roman"/>
          <w:b/>
          <w:bCs/>
          <w:color w:val="000000"/>
          <w:sz w:val="24"/>
          <w:szCs w:val="24"/>
          <w:lang w:val="fr-FR" w:eastAsia="en-GB"/>
        </w:rPr>
        <w:t xml:space="preserve"> for groups</w:t>
      </w:r>
    </w:p>
    <w:p w14:paraId="48BA8774"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shall submit quarterly, unless the scope or the frequency of the reporting is limited in accordance with the second subparagraph of Article 254(2) of Directive 2009/138/EC,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12659F26" w14:textId="77777777" w:rsidTr="000A3A8F">
        <w:tc>
          <w:tcPr>
            <w:tcW w:w="0" w:type="auto"/>
            <w:shd w:val="clear" w:color="auto" w:fill="FFFFFF"/>
            <w:hideMark/>
          </w:tcPr>
          <w:p w14:paraId="36EB37C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78C7571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S.01.01.05 of Annex I, specifying the content of the submission, following the instructions set out in section S.01.01 of Annex III;</w:t>
            </w:r>
          </w:p>
        </w:tc>
      </w:tr>
    </w:tbl>
    <w:p w14:paraId="5F971D7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40427D0" w14:textId="77777777" w:rsidTr="000A3A8F">
        <w:tc>
          <w:tcPr>
            <w:tcW w:w="0" w:type="auto"/>
            <w:shd w:val="clear" w:color="auto" w:fill="FFFFFF"/>
            <w:hideMark/>
          </w:tcPr>
          <w:p w14:paraId="4353367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6A5CC52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S.01.02.04 of Annex I, specifying basic information on the group and the content of the reporting in general, following the instructions set out in section S.01.02 of Annex III;</w:t>
            </w:r>
          </w:p>
        </w:tc>
      </w:tr>
    </w:tbl>
    <w:p w14:paraId="2E78045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9F36E63" w14:textId="77777777" w:rsidTr="000A3A8F">
        <w:tc>
          <w:tcPr>
            <w:tcW w:w="0" w:type="auto"/>
            <w:shd w:val="clear" w:color="auto" w:fill="FFFFFF"/>
            <w:hideMark/>
          </w:tcPr>
          <w:p w14:paraId="4D4B7D2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640C610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for the calculation of group solvency, the group uses method 1 as defined in Article 230 of Directive 2009/138/EC, either exclusively or in combination with method 2 as defined in Article 233 of that Directive, template S.02.01.02 of Annex I to this Regulation, specifying balance sheet information using the valuation in accordance with Article 75 of Directive 2009/138/EC, following the instructions set out in section S.02.01 of Annex III to this Regulation;</w:t>
            </w:r>
          </w:p>
        </w:tc>
      </w:tr>
    </w:tbl>
    <w:p w14:paraId="1ADE96D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B3AC013" w14:textId="77777777" w:rsidTr="000A3A8F">
        <w:tc>
          <w:tcPr>
            <w:tcW w:w="0" w:type="auto"/>
            <w:shd w:val="clear" w:color="auto" w:fill="FFFFFF"/>
            <w:hideMark/>
          </w:tcPr>
          <w:p w14:paraId="684CBB5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(d)</w:t>
            </w:r>
          </w:p>
        </w:tc>
        <w:tc>
          <w:tcPr>
            <w:tcW w:w="0" w:type="auto"/>
            <w:shd w:val="clear" w:color="auto" w:fill="FFFFFF"/>
            <w:hideMark/>
          </w:tcPr>
          <w:p w14:paraId="62BD177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S.05.01.02 of Annex I, specifying information on premiums, claims and expenses for each line of business as defined in Annex I to Delegated Regulation (EU) 2015/35 using the valuation and recognition principles used in the consolidated financial statements, following the instructions set out in section S.05.01 of Annex III to this Regulation;</w:t>
            </w:r>
          </w:p>
        </w:tc>
      </w:tr>
    </w:tbl>
    <w:p w14:paraId="67E74C1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41F40B0" w14:textId="77777777" w:rsidTr="000A3A8F">
        <w:tc>
          <w:tcPr>
            <w:tcW w:w="0" w:type="auto"/>
            <w:shd w:val="clear" w:color="auto" w:fill="FFFFFF"/>
            <w:hideMark/>
          </w:tcPr>
          <w:p w14:paraId="2F5E776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(e)</w:t>
            </w:r>
          </w:p>
        </w:tc>
        <w:tc>
          <w:tcPr>
            <w:tcW w:w="0" w:type="auto"/>
            <w:shd w:val="clear" w:color="auto" w:fill="FFFFFF"/>
            <w:hideMark/>
          </w:tcPr>
          <w:p w14:paraId="56187A78"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S.06.02.04 of Annex I, providing an item-by-item list of assets, following the instructions set out in section S.06.02 of Annex III and using the CIC code as set out in Annex V and defined in Annex VI;</w:t>
            </w:r>
          </w:p>
        </w:tc>
      </w:tr>
    </w:tbl>
    <w:p w14:paraId="3E01536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4DBCACAC" w14:textId="77777777" w:rsidTr="000A3A8F">
        <w:tc>
          <w:tcPr>
            <w:tcW w:w="0" w:type="auto"/>
            <w:shd w:val="clear" w:color="auto" w:fill="FFFFFF"/>
            <w:hideMark/>
          </w:tcPr>
          <w:p w14:paraId="53E9DB2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(f)</w:t>
            </w:r>
          </w:p>
        </w:tc>
        <w:tc>
          <w:tcPr>
            <w:tcW w:w="0" w:type="auto"/>
            <w:shd w:val="clear" w:color="auto" w:fill="FFFFFF"/>
            <w:hideMark/>
          </w:tcPr>
          <w:p w14:paraId="4D8A4D1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ratio of collective investments held by the group to total investments is higher than 30 %, template S.06.03.04 of Annex I, providing information on the look-through of all collective investments held by the group, following the instructions set out in section S.06.03 of Annex III;</w:t>
            </w:r>
          </w:p>
        </w:tc>
      </w:tr>
    </w:tbl>
    <w:p w14:paraId="5A390E3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7C9BB1B" w14:textId="77777777" w:rsidTr="000A3A8F">
        <w:tc>
          <w:tcPr>
            <w:tcW w:w="0" w:type="auto"/>
            <w:shd w:val="clear" w:color="auto" w:fill="FFFFFF"/>
            <w:hideMark/>
          </w:tcPr>
          <w:p w14:paraId="59E4062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(g)</w:t>
            </w:r>
          </w:p>
        </w:tc>
        <w:tc>
          <w:tcPr>
            <w:tcW w:w="0" w:type="auto"/>
            <w:shd w:val="clear" w:color="auto" w:fill="FFFFFF"/>
            <w:hideMark/>
          </w:tcPr>
          <w:p w14:paraId="1BCC4D9A"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S.08.01.04 of Annex I, providing an item-by-item list of open positions of derivatives, following the instructions set out in section S.08.01 of Annex III and using the CIC code as set out in Annex V and defined in Annex VI;</w:t>
            </w:r>
          </w:p>
        </w:tc>
      </w:tr>
    </w:tbl>
    <w:p w14:paraId="611BAA1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5D80BA8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CB10412" w14:textId="77777777" w:rsidTr="000A3A8F">
        <w:tc>
          <w:tcPr>
            <w:tcW w:w="0" w:type="auto"/>
            <w:shd w:val="clear" w:color="auto" w:fill="FFFFFF"/>
            <w:hideMark/>
          </w:tcPr>
          <w:p w14:paraId="2E7FB1B8" w14:textId="4C61AEAB" w:rsidR="000A3A8F" w:rsidRPr="000A3A8F" w:rsidRDefault="000A3A8F" w:rsidP="001A66FA">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t>
            </w:r>
            <w:r w:rsidR="001A66FA">
              <w:rPr>
                <w:rFonts w:ascii="inherit" w:eastAsia="Times New Roman" w:hAnsi="inherit" w:cs="Times New Roman"/>
                <w:color w:val="000000"/>
                <w:sz w:val="24"/>
                <w:szCs w:val="24"/>
                <w:lang w:eastAsia="en-GB"/>
              </w:rPr>
              <w:t>h</w:t>
            </w:r>
            <w:r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73D1A4E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S.23.01.04 of Annex I, specifying information on own funds, following the instructions set out in section S.23.01 of Annex III.</w:t>
            </w:r>
          </w:p>
        </w:tc>
      </w:tr>
    </w:tbl>
    <w:p w14:paraId="3DF5F6A3"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2.   For the purposes of point (f) of paragraph 1, where for the calculation of group solvency method 1 as defined in Article 230 of Directive 2009/138/EC is used exclusively, the ratio of collective investments held by the group to total investments shall be determined by the sum of items C0010/R0180, collective investment undertakings included in item C0010/R0220 and collective investment undertakings included in item C0010/R0090 of template S.02.01.02, divided by the sum of items C0010/R0070 and C0010/R0220 of template S.02.01.02. Where, </w:t>
      </w:r>
      <w:r w:rsidRPr="000A3A8F">
        <w:rPr>
          <w:rFonts w:ascii="Times New Roman" w:eastAsia="Times New Roman" w:hAnsi="Times New Roman" w:cs="Times New Roman"/>
          <w:color w:val="000000"/>
          <w:sz w:val="24"/>
          <w:szCs w:val="24"/>
          <w:lang w:eastAsia="en-GB"/>
        </w:rPr>
        <w:lastRenderedPageBreak/>
        <w:t>for the calculation of group solvency, method 1 is used in combination with method 2 as defined in Article 233 of Directive 2009/138/EC, or method 2 is used exclusively, the ratio shall be calculated in accordance with the first sentence and adjusted in order to capture the required items of all entities included in the scope of template S.06.02.04.</w:t>
      </w:r>
    </w:p>
    <w:p w14:paraId="2003ABBA" w14:textId="0307A616"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w:t>
      </w:r>
      <w:r w:rsidR="000A7951">
        <w:rPr>
          <w:rFonts w:ascii="Times New Roman" w:eastAsia="Times New Roman" w:hAnsi="Times New Roman" w:cs="Times New Roman"/>
          <w:i/>
          <w:iCs/>
          <w:color w:val="000000"/>
          <w:sz w:val="24"/>
          <w:szCs w:val="24"/>
          <w:lang w:eastAsia="en-GB"/>
        </w:rPr>
        <w:t>3</w:t>
      </w:r>
    </w:p>
    <w:p w14:paraId="47DFB03F"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Simplifications allowed on quarterly reporting for groups</w:t>
      </w:r>
    </w:p>
    <w:p w14:paraId="6B794B22" w14:textId="7E924192"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With regard to the information referred to in point (c) of Article 2</w:t>
      </w:r>
      <w:r w:rsidR="0086025A">
        <w:rPr>
          <w:rFonts w:ascii="Times New Roman" w:eastAsia="Times New Roman" w:hAnsi="Times New Roman" w:cs="Times New Roman"/>
          <w:color w:val="000000"/>
          <w:sz w:val="24"/>
          <w:szCs w:val="24"/>
          <w:lang w:eastAsia="en-GB"/>
        </w:rPr>
        <w:t>2</w:t>
      </w:r>
      <w:r w:rsidRPr="000A3A8F">
        <w:rPr>
          <w:rFonts w:ascii="Times New Roman" w:eastAsia="Times New Roman" w:hAnsi="Times New Roman" w:cs="Times New Roman"/>
          <w:color w:val="000000"/>
          <w:sz w:val="24"/>
          <w:szCs w:val="24"/>
          <w:lang w:eastAsia="en-GB"/>
        </w:rPr>
        <w:t>(1)</w:t>
      </w:r>
      <w:r w:rsidR="004A10A5">
        <w:rPr>
          <w:rFonts w:ascii="Times New Roman" w:eastAsia="Times New Roman" w:hAnsi="Times New Roman" w:cs="Times New Roman"/>
          <w:color w:val="000000"/>
          <w:sz w:val="24"/>
          <w:szCs w:val="24"/>
          <w:lang w:eastAsia="en-GB"/>
        </w:rPr>
        <w:t xml:space="preserve"> of this Regulation</w:t>
      </w:r>
      <w:r w:rsidRPr="000A3A8F">
        <w:rPr>
          <w:rFonts w:ascii="Times New Roman" w:eastAsia="Times New Roman" w:hAnsi="Times New Roman" w:cs="Times New Roman"/>
          <w:color w:val="000000"/>
          <w:sz w:val="24"/>
          <w:szCs w:val="24"/>
          <w:lang w:eastAsia="en-GB"/>
        </w:rPr>
        <w:t>, quarterly measurements may rely on estimates and estimation methods to a greater extent than measurements of annual financial data. The measurement procedures for the quarterly reporting shall be designed to ensure that the resulting information is reliable and complies with the standards laid down in Directive 2009/138/EC and that all material information that is relevant for the understanding of the data is reported.</w:t>
      </w:r>
    </w:p>
    <w:p w14:paraId="274446EC" w14:textId="003BAED6"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w:t>
      </w:r>
      <w:r w:rsidR="000A7951">
        <w:rPr>
          <w:rFonts w:ascii="Times New Roman" w:eastAsia="Times New Roman" w:hAnsi="Times New Roman" w:cs="Times New Roman"/>
          <w:i/>
          <w:iCs/>
          <w:color w:val="000000"/>
          <w:sz w:val="24"/>
          <w:szCs w:val="24"/>
          <w:lang w:eastAsia="en-GB"/>
        </w:rPr>
        <w:t>4</w:t>
      </w:r>
    </w:p>
    <w:p w14:paraId="0161910C"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Basic information and content of submission</w:t>
      </w:r>
    </w:p>
    <w:p w14:paraId="17062D83"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81D59B7" w14:textId="77777777" w:rsidTr="000A3A8F">
        <w:tc>
          <w:tcPr>
            <w:tcW w:w="0" w:type="auto"/>
            <w:shd w:val="clear" w:color="auto" w:fill="FFFFFF"/>
            <w:hideMark/>
          </w:tcPr>
          <w:p w14:paraId="630CBE4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7AEB836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S.01.01.04 of Annex I, specifying the content of the submission, following the instructions set out in section S.01.01 of Annex III;</w:t>
            </w:r>
          </w:p>
        </w:tc>
      </w:tr>
    </w:tbl>
    <w:p w14:paraId="5907A40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FD5ABB9" w14:textId="77777777" w:rsidTr="000A3A8F">
        <w:tc>
          <w:tcPr>
            <w:tcW w:w="0" w:type="auto"/>
            <w:shd w:val="clear" w:color="auto" w:fill="FFFFFF"/>
            <w:hideMark/>
          </w:tcPr>
          <w:p w14:paraId="152BDB7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4E8F059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S.01.02.04 of Annex I, specifying basic information on the undertaking and the content of the reporting in general, following the instructions set out in section S.01.02 of Annex III;</w:t>
            </w:r>
          </w:p>
        </w:tc>
      </w:tr>
    </w:tbl>
    <w:p w14:paraId="2329B17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4E989436" w14:textId="77777777" w:rsidTr="000A3A8F">
        <w:tc>
          <w:tcPr>
            <w:tcW w:w="0" w:type="auto"/>
            <w:shd w:val="clear" w:color="auto" w:fill="FFFFFF"/>
            <w:hideMark/>
          </w:tcPr>
          <w:p w14:paraId="11894912"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(c)</w:t>
            </w:r>
          </w:p>
        </w:tc>
        <w:tc>
          <w:tcPr>
            <w:tcW w:w="0" w:type="auto"/>
            <w:shd w:val="clear" w:color="auto" w:fill="FFFFFF"/>
            <w:hideMark/>
          </w:tcPr>
          <w:p w14:paraId="5AC4E52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for the calculation of group solvency, the group uses method 1 as defined in Article 230 of Directive 2009/138/EC, either exclusively or in combination with method 2 as defined in Article 233 of that Directive, template S.01.03.04 of Annex I to this Regulation, specifying basic information on the ring-fenced funds and matching adjustment portfolios, following the instructions set out in section S.01.03 of Annex III to this Regulation.</w:t>
            </w:r>
          </w:p>
        </w:tc>
      </w:tr>
    </w:tbl>
    <w:p w14:paraId="4E7AC38B" w14:textId="3B78DED4"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2</w:t>
      </w:r>
      <w:r w:rsidR="000A7951">
        <w:rPr>
          <w:rFonts w:ascii="Times New Roman" w:eastAsia="Times New Roman" w:hAnsi="Times New Roman" w:cs="Times New Roman"/>
          <w:i/>
          <w:iCs/>
          <w:color w:val="000000"/>
          <w:sz w:val="24"/>
          <w:szCs w:val="24"/>
          <w:lang w:eastAsia="en-GB"/>
        </w:rPr>
        <w:t>5</w:t>
      </w:r>
    </w:p>
    <w:p w14:paraId="56AC82DD"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Balance sheet and other general information</w:t>
      </w:r>
    </w:p>
    <w:p w14:paraId="33252A2F" w14:textId="6CA27AAA"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in conjunction with Article 372(1) of that Delegated Regulation, using the following templates:</w:t>
      </w:r>
    </w:p>
    <w:p w14:paraId="3048CD4F" w14:textId="18EAE115"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(a)</w:t>
      </w:r>
      <w:r w:rsidRPr="001A66FA">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 xml:space="preserve">template S.02.01.01 of Annex I, specifying balance sheet information using both the valuation in accordance with Article 75 of Directive 2009/138/EC and the valuation following </w:t>
      </w:r>
      <w:r w:rsidRPr="000A3A8F">
        <w:rPr>
          <w:rFonts w:ascii="inherit" w:eastAsia="Times New Roman" w:hAnsi="inherit" w:cs="Times New Roman"/>
          <w:color w:val="000000"/>
          <w:sz w:val="24"/>
          <w:szCs w:val="24"/>
          <w:lang w:eastAsia="en-GB"/>
        </w:rPr>
        <w:lastRenderedPageBreak/>
        <w:t>the consolidated financial statements, following the instructions set out in section S.02.01 of Annex III;</w:t>
      </w:r>
    </w:p>
    <w:p w14:paraId="05C9A8C4" w14:textId="12CF4A20"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Pr="006E389D">
        <w:rPr>
          <w:rFonts w:ascii="inherit" w:eastAsia="Times New Roman" w:hAnsi="inherit" w:cs="Times New Roman"/>
          <w:color w:val="000000"/>
          <w:sz w:val="24"/>
          <w:szCs w:val="24"/>
          <w:lang w:eastAsia="en-GB"/>
        </w:rPr>
        <w:t>unless one single currency represents more than 80% of the total liabilities, template S.02.02.01 of Annex I, specifying information on assets and liabilities by currency, following the instructions set out in section S.02.02 of Annex III</w:t>
      </w:r>
      <w:r>
        <w:rPr>
          <w:rFonts w:ascii="inherit" w:eastAsia="Times New Roman" w:hAnsi="inherit" w:cs="Times New Roman"/>
          <w:color w:val="000000"/>
          <w:sz w:val="24"/>
          <w:szCs w:val="24"/>
          <w:lang w:eastAsia="en-GB"/>
        </w:rPr>
        <w:t>;</w:t>
      </w:r>
    </w:p>
    <w:p w14:paraId="2941E0D3" w14:textId="1D5F6D1C"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(c)</w:t>
      </w:r>
      <w:r w:rsidRPr="001A66FA">
        <w:rPr>
          <w:rFonts w:ascii="inherit" w:eastAsia="Times New Roman" w:hAnsi="inherit" w:cs="Times New Roman"/>
          <w:color w:val="000000"/>
          <w:sz w:val="24"/>
          <w:szCs w:val="24"/>
          <w:lang w:eastAsia="en-GB"/>
        </w:rPr>
        <w:t xml:space="preserve"> </w:t>
      </w:r>
      <w:proofErr w:type="gramStart"/>
      <w:r>
        <w:rPr>
          <w:rFonts w:ascii="inherit" w:eastAsia="Times New Roman" w:hAnsi="inherit" w:cs="Times New Roman"/>
          <w:color w:val="000000"/>
          <w:sz w:val="24"/>
          <w:szCs w:val="24"/>
          <w:lang w:eastAsia="en-GB"/>
        </w:rPr>
        <w:t>where</w:t>
      </w:r>
      <w:proofErr w:type="gramEnd"/>
      <w:r>
        <w:rPr>
          <w:rFonts w:ascii="inherit" w:eastAsia="Times New Roman" w:hAnsi="inherit" w:cs="Times New Roman"/>
          <w:color w:val="000000"/>
          <w:sz w:val="24"/>
          <w:szCs w:val="24"/>
          <w:lang w:eastAsia="en-GB"/>
        </w:rPr>
        <w:t xml:space="preserve"> any of the following conditions apply, </w:t>
      </w:r>
      <w:r w:rsidRPr="000A3A8F">
        <w:rPr>
          <w:rFonts w:ascii="inherit" w:eastAsia="Times New Roman" w:hAnsi="inherit" w:cs="Times New Roman"/>
          <w:color w:val="000000"/>
          <w:sz w:val="24"/>
          <w:szCs w:val="24"/>
          <w:lang w:eastAsia="en-GB"/>
        </w:rPr>
        <w:t>template S.03.01.0</w:t>
      </w:r>
      <w:r>
        <w:rPr>
          <w:rFonts w:ascii="inherit" w:eastAsia="Times New Roman" w:hAnsi="inherit" w:cs="Times New Roman"/>
          <w:color w:val="000000"/>
          <w:sz w:val="24"/>
          <w:szCs w:val="24"/>
          <w:lang w:eastAsia="en-GB"/>
        </w:rPr>
        <w:t>4</w:t>
      </w:r>
      <w:r w:rsidRPr="000A3A8F">
        <w:rPr>
          <w:rFonts w:ascii="inherit" w:eastAsia="Times New Roman" w:hAnsi="inherit" w:cs="Times New Roman"/>
          <w:color w:val="000000"/>
          <w:sz w:val="24"/>
          <w:szCs w:val="24"/>
          <w:lang w:eastAsia="en-GB"/>
        </w:rPr>
        <w:t xml:space="preserve"> of Annex I, specifying general information on off-balance sheet items, following the instructions set out in section S.03.01 of Annex II</w:t>
      </w:r>
      <w:r>
        <w:rPr>
          <w:rFonts w:ascii="inherit" w:eastAsia="Times New Roman" w:hAnsi="inherit" w:cs="Times New Roman"/>
          <w:color w:val="000000"/>
          <w:sz w:val="24"/>
          <w:szCs w:val="24"/>
          <w:lang w:eastAsia="en-GB"/>
        </w:rPr>
        <w:t>I:</w:t>
      </w:r>
    </w:p>
    <w:p w14:paraId="42F95F8E" w14:textId="77777777" w:rsidR="001A66FA" w:rsidRPr="00E70C65" w:rsidRDefault="001A66FA" w:rsidP="001A66FA">
      <w:pPr>
        <w:spacing w:before="120" w:after="0" w:line="240" w:lineRule="auto"/>
        <w:ind w:firstLine="296"/>
        <w:jc w:val="both"/>
        <w:rPr>
          <w:rFonts w:ascii="inherit" w:eastAsia="Times New Roman" w:hAnsi="inherit" w:cs="Times New Roman"/>
          <w:color w:val="000000"/>
          <w:sz w:val="24"/>
          <w:szCs w:val="24"/>
          <w:lang w:eastAsia="en-GB"/>
        </w:rPr>
      </w:pP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w:t>
      </w:r>
      <w:proofErr w:type="gramStart"/>
      <w:r w:rsidRPr="00E70C65">
        <w:rPr>
          <w:rFonts w:ascii="inherit" w:eastAsia="Times New Roman" w:hAnsi="inherit" w:cs="Times New Roman"/>
          <w:color w:val="000000"/>
          <w:sz w:val="24"/>
          <w:szCs w:val="24"/>
          <w:lang w:eastAsia="en-GB"/>
        </w:rPr>
        <w:t>the</w:t>
      </w:r>
      <w:proofErr w:type="gramEnd"/>
      <w:r w:rsidRPr="00E70C65">
        <w:rPr>
          <w:rFonts w:ascii="inherit" w:eastAsia="Times New Roman" w:hAnsi="inherit" w:cs="Times New Roman"/>
          <w:color w:val="000000"/>
          <w:sz w:val="24"/>
          <w:szCs w:val="24"/>
          <w:lang w:eastAsia="en-GB"/>
        </w:rPr>
        <w:t xml:space="preserve"> amount of any of the following </w:t>
      </w:r>
      <w:r>
        <w:rPr>
          <w:rFonts w:ascii="inherit" w:eastAsia="Times New Roman" w:hAnsi="inherit" w:cs="Times New Roman"/>
          <w:color w:val="000000"/>
          <w:sz w:val="24"/>
          <w:szCs w:val="24"/>
          <w:lang w:eastAsia="en-GB"/>
        </w:rPr>
        <w:t>values</w:t>
      </w:r>
      <w:r w:rsidRPr="00E70C65">
        <w:rPr>
          <w:rFonts w:ascii="inherit" w:eastAsia="Times New Roman" w:hAnsi="inherit" w:cs="Times New Roman"/>
          <w:color w:val="000000"/>
          <w:sz w:val="24"/>
          <w:szCs w:val="24"/>
          <w:lang w:eastAsia="en-GB"/>
        </w:rPr>
        <w:t xml:space="preserve"> is higher than 2% of Total Assets:</w:t>
      </w:r>
    </w:p>
    <w:p w14:paraId="73D39AAE" w14:textId="77777777" w:rsidR="001A66FA" w:rsidRPr="00E63F50" w:rsidRDefault="001A66FA" w:rsidP="001A66FA">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Pr="00E63F50">
        <w:rPr>
          <w:rFonts w:ascii="inherit" w:eastAsia="Times New Roman" w:hAnsi="inherit" w:cs="Times New Roman"/>
          <w:color w:val="000000"/>
          <w:sz w:val="24"/>
          <w:szCs w:val="24"/>
          <w:lang w:eastAsia="en-GB"/>
        </w:rPr>
        <w:t>alue of guarantee/collateral/contingent liabilities — Guarantees provided by the undertaking, including letters of credit (C0020/R0010) plus Value of guarantee/collateral/contingent liabilities — Total collateral pledged (C0020/R0300) plus  Maximum value — Total Contingent liabilities (C0010/R0400); or</w:t>
      </w:r>
    </w:p>
    <w:p w14:paraId="17E20C16" w14:textId="77777777" w:rsidR="001A66FA" w:rsidRPr="00E63F50" w:rsidRDefault="001A66FA" w:rsidP="001A66FA">
      <w:pPr>
        <w:pStyle w:val="ListParagraph"/>
        <w:numPr>
          <w:ilvl w:val="1"/>
          <w:numId w:val="5"/>
        </w:numPr>
        <w:spacing w:before="120" w:after="0" w:line="240" w:lineRule="auto"/>
        <w:ind w:left="580" w:hanging="284"/>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v</w:t>
      </w:r>
      <w:r w:rsidRPr="00E63F50">
        <w:rPr>
          <w:rFonts w:ascii="inherit" w:eastAsia="Times New Roman" w:hAnsi="inherit" w:cs="Times New Roman"/>
          <w:color w:val="000000"/>
          <w:sz w:val="24"/>
          <w:szCs w:val="24"/>
          <w:lang w:eastAsia="en-GB"/>
        </w:rPr>
        <w:t>alue of guarantee/collateral/contingent liabilities — Guarantees received by the undertaking, including letters of credit (C0020/R0030) plus  Value of guarantee/collateral/contingent liabilities — Total collateral held (C0020/R0200);</w:t>
      </w:r>
    </w:p>
    <w:p w14:paraId="1C76DDA1" w14:textId="4881EB39" w:rsidR="00512A6D" w:rsidRPr="00512A6D" w:rsidRDefault="00512A6D" w:rsidP="00512A6D">
      <w:pPr>
        <w:spacing w:before="120" w:after="0" w:line="240" w:lineRule="auto"/>
        <w:ind w:firstLine="296"/>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(ii) </w:t>
      </w:r>
      <w:proofErr w:type="gramStart"/>
      <w:r w:rsidRPr="00512A6D">
        <w:rPr>
          <w:rFonts w:ascii="inherit" w:eastAsia="Times New Roman" w:hAnsi="inherit" w:cs="Times New Roman"/>
          <w:color w:val="000000"/>
          <w:sz w:val="24"/>
          <w:szCs w:val="24"/>
          <w:lang w:eastAsia="en-GB"/>
        </w:rPr>
        <w:t>the</w:t>
      </w:r>
      <w:proofErr w:type="gramEnd"/>
      <w:r w:rsidRPr="00512A6D">
        <w:rPr>
          <w:rFonts w:ascii="inherit" w:eastAsia="Times New Roman" w:hAnsi="inherit" w:cs="Times New Roman"/>
          <w:color w:val="000000"/>
          <w:sz w:val="24"/>
          <w:szCs w:val="24"/>
          <w:lang w:eastAsia="en-GB"/>
        </w:rPr>
        <w:t xml:space="preserve"> undertaking has provided or received unlimited guarantee.</w:t>
      </w:r>
    </w:p>
    <w:p w14:paraId="3E1F94DA" w14:textId="6CE12825"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(d)</w:t>
      </w:r>
      <w:r w:rsidRPr="001A66FA">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template S.05.01.01 of Annex I, specifying information on premiums, claims and expenses for each line of business as defined in Annex I to Delegated Regulation (EU) 2015/35 applying the valuation and recognition principles used in the consolidated financial statements, following the instructions set out in section S.05.01 of Annex III to this Regulation;</w:t>
      </w:r>
    </w:p>
    <w:p w14:paraId="14CDF214" w14:textId="1FE9B753"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1A66FA">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template S.05.02.01 of Annex I, specifying information on premiums, claims and expenses by country applying the valuation and recognition principles used in the consolidated financial statements, following the instructions set out in section S.05.02 of Annex III.</w:t>
      </w:r>
    </w:p>
    <w:p w14:paraId="49EBD28F"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The templates referred to in points (a) and (b) of paragraph 1 shall only be submitted by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w:t>
      </w:r>
    </w:p>
    <w:p w14:paraId="76F98A38" w14:textId="69154C74" w:rsidR="000A3A8F" w:rsidRPr="000A3A8F" w:rsidRDefault="00512A6D"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26</w:t>
      </w:r>
    </w:p>
    <w:p w14:paraId="5E38711D"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Investments information</w:t>
      </w:r>
    </w:p>
    <w:p w14:paraId="36585F98"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shall, unless exempted under the third subparagraph of Article 254(2) of Directive 2009/138/EC in relation to a specific template,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in conjunction with Article 372(1) of that Delegated Regulation, using the following templates:</w:t>
      </w:r>
    </w:p>
    <w:p w14:paraId="3E0C4C9D"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5B14C96" w14:textId="77777777" w:rsidTr="000A3A8F">
        <w:tc>
          <w:tcPr>
            <w:tcW w:w="0" w:type="auto"/>
            <w:shd w:val="clear" w:color="auto" w:fill="FFFFFF"/>
            <w:hideMark/>
          </w:tcPr>
          <w:p w14:paraId="78E3EC89" w14:textId="75BB08B3" w:rsidR="000A3A8F" w:rsidRPr="000A3A8F" w:rsidRDefault="001A66F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(a</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5AF64B3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where the group is exempted from reporting the template S.06.02.04 in relation to the last quarter in accordance with the second subparagraph of Article 254(2) of Directive 2009/138/EC, template S.06.02.04 of Annex I to this Regulation, providing an item-by-item </w:t>
            </w:r>
            <w:r w:rsidRPr="000A3A8F">
              <w:rPr>
                <w:rFonts w:ascii="inherit" w:eastAsia="Times New Roman" w:hAnsi="inherit" w:cs="Times New Roman"/>
                <w:color w:val="000000"/>
                <w:sz w:val="24"/>
                <w:szCs w:val="24"/>
                <w:lang w:eastAsia="en-GB"/>
              </w:rPr>
              <w:lastRenderedPageBreak/>
              <w:t>list of assets, following the instructions set out in section S.06.02 of Annex III to this Regulation;</w:t>
            </w:r>
          </w:p>
        </w:tc>
      </w:tr>
    </w:tbl>
    <w:p w14:paraId="6DD3DFC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843F865" w14:textId="77777777" w:rsidTr="000A3A8F">
        <w:tc>
          <w:tcPr>
            <w:tcW w:w="0" w:type="auto"/>
            <w:shd w:val="clear" w:color="auto" w:fill="FFFFFF"/>
            <w:hideMark/>
          </w:tcPr>
          <w:p w14:paraId="743C7B21" w14:textId="58076937" w:rsidR="000A3A8F" w:rsidRPr="000A3A8F" w:rsidRDefault="001A66F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(b</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4F4C96DA" w14:textId="4BEA8642"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group is exempted from reporting the template S.06.03.04 in relation to the last quarter in accordance with the second subparagraph of Article 254(2) of Directive 2009/138/EC, or has not reported it quarterly because the ratio of collective investment held by the group to total investments, as referred to in Article 2</w:t>
            </w:r>
            <w:r w:rsidR="00412DDF">
              <w:rPr>
                <w:rFonts w:ascii="inherit" w:eastAsia="Times New Roman" w:hAnsi="inherit" w:cs="Times New Roman"/>
                <w:color w:val="000000"/>
                <w:sz w:val="24"/>
                <w:szCs w:val="24"/>
                <w:lang w:eastAsia="en-GB"/>
              </w:rPr>
              <w:t>2</w:t>
            </w:r>
            <w:r w:rsidRPr="000A3A8F">
              <w:rPr>
                <w:rFonts w:ascii="inherit" w:eastAsia="Times New Roman" w:hAnsi="inherit" w:cs="Times New Roman"/>
                <w:color w:val="000000"/>
                <w:sz w:val="24"/>
                <w:szCs w:val="24"/>
                <w:lang w:eastAsia="en-GB"/>
              </w:rPr>
              <w:t>(1)(f) of this Regulation, is not higher than 30 %, template S.06.03.04 of Annex I to this Regulation, providing information on the look-through of all collective investments held by the undertakings, following the instructions set out in section S.06.03 of Annex III to this Regulation;</w:t>
            </w:r>
          </w:p>
        </w:tc>
      </w:tr>
    </w:tbl>
    <w:p w14:paraId="729D144E"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D7ED186" w14:textId="77777777" w:rsidTr="000A3A8F">
        <w:tc>
          <w:tcPr>
            <w:tcW w:w="0" w:type="auto"/>
            <w:shd w:val="clear" w:color="auto" w:fill="FFFFFF"/>
            <w:hideMark/>
          </w:tcPr>
          <w:p w14:paraId="0F20D778" w14:textId="1A731142" w:rsidR="000A3A8F" w:rsidRPr="000A3A8F" w:rsidRDefault="001A66F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(c</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79F6D60E"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ratio of the value of structured products held by the group t</w:t>
            </w:r>
            <w:r w:rsidRPr="00B44087">
              <w:rPr>
                <w:rFonts w:ascii="inherit" w:eastAsia="Times New Roman" w:hAnsi="inherit" w:cs="Times New Roman"/>
                <w:color w:val="000000"/>
                <w:sz w:val="24"/>
                <w:szCs w:val="24"/>
                <w:lang w:eastAsia="en-GB"/>
              </w:rPr>
              <w:t>o total investments is higher than 5 %, template S.07.01.04 of Annex I, providing an item-by-i</w:t>
            </w:r>
            <w:r w:rsidRPr="000A3A8F">
              <w:rPr>
                <w:rFonts w:ascii="inherit" w:eastAsia="Times New Roman" w:hAnsi="inherit" w:cs="Times New Roman"/>
                <w:color w:val="000000"/>
                <w:sz w:val="24"/>
                <w:szCs w:val="24"/>
                <w:lang w:eastAsia="en-GB"/>
              </w:rPr>
              <w:t>tem list of structured products, following the instructions set out in section S.07.01 of Annex III;</w:t>
            </w:r>
          </w:p>
        </w:tc>
      </w:tr>
    </w:tbl>
    <w:p w14:paraId="5538ADA9"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33F8B12E" w14:textId="77777777" w:rsidTr="000A3A8F">
        <w:tc>
          <w:tcPr>
            <w:tcW w:w="0" w:type="auto"/>
            <w:shd w:val="clear" w:color="auto" w:fill="FFFFFF"/>
            <w:hideMark/>
          </w:tcPr>
          <w:p w14:paraId="7A6B1E22" w14:textId="489CB0CF" w:rsidR="000A3A8F" w:rsidRPr="000A3A8F" w:rsidRDefault="001A66F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(d</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7A6FF436"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where the group is exempted from reporting the template S.08.01.04 in relation to the last quarter in accordance with the second subparagraph of Article 254(2) of Directive 2009/138/EC, template S.08.01.04 of Annex I to this Regulation, providing an item-by-item list of open positions of derivatives, following the instructions set out in section S.08.01 of Annex III to this Regulation;</w:t>
            </w:r>
          </w:p>
        </w:tc>
      </w:tr>
    </w:tbl>
    <w:p w14:paraId="66B20B6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0B4BFCF4" w14:textId="77777777" w:rsidTr="000A3A8F">
        <w:tc>
          <w:tcPr>
            <w:tcW w:w="0" w:type="auto"/>
            <w:shd w:val="clear" w:color="auto" w:fill="FFFFFF"/>
            <w:hideMark/>
          </w:tcPr>
          <w:p w14:paraId="576C3227" w14:textId="4BD15855"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hideMark/>
          </w:tcPr>
          <w:p w14:paraId="6CCCE3CC" w14:textId="5ABDC433"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r>
    </w:tbl>
    <w:p w14:paraId="7D33C93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041AA947" w14:textId="77777777" w:rsidTr="000A3A8F">
        <w:tc>
          <w:tcPr>
            <w:tcW w:w="0" w:type="auto"/>
            <w:shd w:val="clear" w:color="auto" w:fill="FFFFFF"/>
            <w:hideMark/>
          </w:tcPr>
          <w:p w14:paraId="46BB6C78" w14:textId="0D52AADD" w:rsidR="000A3A8F" w:rsidRPr="000A3A8F" w:rsidRDefault="001A66F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1F3D0CA4"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S.09.01.04 of Annex I, specifying information on income, gains and losses in the reporting period by asset category as defined in Annex IV, following the instructions set out in section S.09.01 of Annex III;</w:t>
            </w:r>
          </w:p>
        </w:tc>
      </w:tr>
    </w:tbl>
    <w:p w14:paraId="0DDCB707"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40"/>
        <w:gridCol w:w="8786"/>
      </w:tblGrid>
      <w:tr w:rsidR="000A3A8F" w:rsidRPr="000A3A8F" w14:paraId="1093E2C2" w14:textId="77777777" w:rsidTr="000A3A8F">
        <w:tc>
          <w:tcPr>
            <w:tcW w:w="0" w:type="auto"/>
            <w:shd w:val="clear" w:color="auto" w:fill="FFFFFF"/>
            <w:hideMark/>
          </w:tcPr>
          <w:p w14:paraId="67663DCA" w14:textId="18EC455B" w:rsidR="000A3A8F" w:rsidRPr="000A3A8F" w:rsidRDefault="001A66F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(f</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585D5BB4" w14:textId="32CA602D"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where the ratio of the value of underlying securities, on and off balance sheet, involved in lending or repurchase agreements, for contracts with maturity dates falling after the reporting reference </w:t>
            </w:r>
            <w:r w:rsidRPr="008004A3">
              <w:rPr>
                <w:rFonts w:ascii="inherit" w:eastAsia="Times New Roman" w:hAnsi="inherit" w:cs="Times New Roman"/>
                <w:color w:val="000000"/>
                <w:sz w:val="24"/>
                <w:szCs w:val="24"/>
                <w:lang w:eastAsia="en-GB"/>
              </w:rPr>
              <w:t>date, to the total investments is higher than 5</w:t>
            </w:r>
            <w:r w:rsidR="00412DDF">
              <w:rPr>
                <w:rFonts w:ascii="inherit" w:eastAsia="Times New Roman" w:hAnsi="inherit" w:cs="Times New Roman"/>
                <w:color w:val="000000"/>
                <w:sz w:val="24"/>
                <w:szCs w:val="24"/>
                <w:lang w:eastAsia="en-GB"/>
              </w:rPr>
              <w:t xml:space="preserve"> </w:t>
            </w:r>
            <w:r w:rsidRPr="008004A3">
              <w:rPr>
                <w:rFonts w:ascii="inherit" w:eastAsia="Times New Roman" w:hAnsi="inherit" w:cs="Times New Roman"/>
                <w:color w:val="000000"/>
                <w:sz w:val="24"/>
                <w:szCs w:val="24"/>
                <w:lang w:eastAsia="en-GB"/>
              </w:rPr>
              <w:t>%, template S.10.01.04 of Annex I, providing an item-by-item list securities lending and repurchase</w:t>
            </w:r>
            <w:r w:rsidRPr="000A3A8F">
              <w:rPr>
                <w:rFonts w:ascii="inherit" w:eastAsia="Times New Roman" w:hAnsi="inherit" w:cs="Times New Roman"/>
                <w:color w:val="000000"/>
                <w:sz w:val="24"/>
                <w:szCs w:val="24"/>
                <w:lang w:eastAsia="en-GB"/>
              </w:rPr>
              <w:t xml:space="preserve"> agreements on and off-balance sheet, following the instructions set out in section S.10.01 of Annex III;</w:t>
            </w:r>
          </w:p>
        </w:tc>
      </w:tr>
    </w:tbl>
    <w:p w14:paraId="146EE23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445BA186" w14:textId="77777777" w:rsidTr="000A3A8F">
        <w:tc>
          <w:tcPr>
            <w:tcW w:w="0" w:type="auto"/>
            <w:shd w:val="clear" w:color="auto" w:fill="FFFFFF"/>
            <w:hideMark/>
          </w:tcPr>
          <w:p w14:paraId="7CE8A16E" w14:textId="3DC6FEF4" w:rsidR="000A3A8F" w:rsidRPr="000A3A8F" w:rsidRDefault="001A66FA"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(g</w:t>
            </w:r>
            <w:r w:rsidR="000A3A8F" w:rsidRPr="000A3A8F">
              <w:rPr>
                <w:rFonts w:ascii="inherit" w:eastAsia="Times New Roman" w:hAnsi="inherit" w:cs="Times New Roman"/>
                <w:color w:val="000000"/>
                <w:sz w:val="24"/>
                <w:szCs w:val="24"/>
                <w:lang w:eastAsia="en-GB"/>
              </w:rPr>
              <w:t>)</w:t>
            </w:r>
          </w:p>
        </w:tc>
        <w:tc>
          <w:tcPr>
            <w:tcW w:w="0" w:type="auto"/>
            <w:shd w:val="clear" w:color="auto" w:fill="FFFFFF"/>
            <w:hideMark/>
          </w:tcPr>
          <w:p w14:paraId="0385F02D" w14:textId="2EBDF65B" w:rsidR="000A3A8F" w:rsidRPr="000A3A8F" w:rsidRDefault="00A32A5B" w:rsidP="000A3A8F">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w:t>
            </w:r>
            <w:r w:rsidR="00B44087">
              <w:rPr>
                <w:rFonts w:ascii="inherit" w:eastAsia="Times New Roman" w:hAnsi="inherit" w:cs="Times New Roman"/>
                <w:color w:val="000000"/>
                <w:sz w:val="24"/>
                <w:szCs w:val="24"/>
                <w:lang w:eastAsia="en-GB"/>
              </w:rPr>
              <w:t xml:space="preserve">here the ratio of the value of assets held as collateral to total balance sheet </w:t>
            </w:r>
            <w:r w:rsidR="00B44087" w:rsidRPr="000A3A8F">
              <w:rPr>
                <w:rFonts w:ascii="inherit" w:eastAsia="Times New Roman" w:hAnsi="inherit" w:cs="Times New Roman"/>
                <w:color w:val="000000"/>
                <w:sz w:val="24"/>
                <w:szCs w:val="24"/>
                <w:lang w:eastAsia="en-GB"/>
              </w:rPr>
              <w:t>as reported in items C0010/</w:t>
            </w:r>
            <w:r w:rsidR="00B44087">
              <w:rPr>
                <w:rFonts w:ascii="inherit" w:eastAsia="Times New Roman" w:hAnsi="inherit" w:cs="Times New Roman"/>
                <w:color w:val="000000"/>
                <w:sz w:val="24"/>
                <w:szCs w:val="24"/>
                <w:lang w:eastAsia="en-GB"/>
              </w:rPr>
              <w:t>R0500</w:t>
            </w:r>
            <w:r w:rsidR="00B44087" w:rsidRPr="000A3A8F">
              <w:rPr>
                <w:rFonts w:ascii="inherit" w:eastAsia="Times New Roman" w:hAnsi="inherit" w:cs="Times New Roman"/>
                <w:color w:val="000000"/>
                <w:sz w:val="24"/>
                <w:szCs w:val="24"/>
                <w:lang w:eastAsia="en-GB"/>
              </w:rPr>
              <w:t xml:space="preserve"> of template S.02.01.01</w:t>
            </w:r>
            <w:r w:rsidR="00B44087">
              <w:rPr>
                <w:rFonts w:ascii="inherit" w:eastAsia="Times New Roman" w:hAnsi="inherit" w:cs="Times New Roman"/>
                <w:color w:val="000000"/>
                <w:sz w:val="24"/>
                <w:szCs w:val="24"/>
                <w:lang w:eastAsia="en-GB"/>
              </w:rPr>
              <w:t xml:space="preserve"> exceeds 10%, </w:t>
            </w:r>
            <w:r w:rsidR="000A3A8F" w:rsidRPr="000A3A8F">
              <w:rPr>
                <w:rFonts w:ascii="inherit" w:eastAsia="Times New Roman" w:hAnsi="inherit" w:cs="Times New Roman"/>
                <w:color w:val="000000"/>
                <w:sz w:val="24"/>
                <w:szCs w:val="24"/>
                <w:lang w:eastAsia="en-GB"/>
              </w:rPr>
              <w:t>template S.11.01.04 of Annex I, providing an item-by-item list of assets held as collateral, consisting of all types of off-balance sheet asset categories held as collateral, following the instructions set out in section S.11.01 of Annex III.</w:t>
            </w:r>
          </w:p>
        </w:tc>
      </w:tr>
    </w:tbl>
    <w:p w14:paraId="0A506DD8" w14:textId="355B5DF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2.   For the purposes of </w:t>
      </w:r>
      <w:r w:rsidRPr="00D5769B">
        <w:rPr>
          <w:rFonts w:ascii="Times New Roman" w:eastAsia="Times New Roman" w:hAnsi="Times New Roman" w:cs="Times New Roman"/>
          <w:color w:val="000000"/>
          <w:sz w:val="24"/>
          <w:szCs w:val="24"/>
          <w:lang w:eastAsia="en-GB"/>
        </w:rPr>
        <w:t>p</w:t>
      </w:r>
      <w:r w:rsidR="00E220EE">
        <w:rPr>
          <w:rFonts w:ascii="Times New Roman" w:eastAsia="Times New Roman" w:hAnsi="Times New Roman" w:cs="Times New Roman"/>
          <w:color w:val="000000"/>
          <w:sz w:val="24"/>
          <w:szCs w:val="24"/>
          <w:lang w:eastAsia="en-GB"/>
        </w:rPr>
        <w:t>oint (c</w:t>
      </w:r>
      <w:r w:rsidRPr="00D5769B">
        <w:rPr>
          <w:rFonts w:ascii="Times New Roman" w:eastAsia="Times New Roman" w:hAnsi="Times New Roman" w:cs="Times New Roman"/>
          <w:color w:val="000000"/>
          <w:sz w:val="24"/>
          <w:szCs w:val="24"/>
          <w:lang w:eastAsia="en-GB"/>
        </w:rPr>
        <w:t>) of paragraph 1</w:t>
      </w:r>
      <w:r w:rsidRPr="000A3A8F">
        <w:rPr>
          <w:rFonts w:ascii="Times New Roman" w:eastAsia="Times New Roman" w:hAnsi="Times New Roman" w:cs="Times New Roman"/>
          <w:color w:val="000000"/>
          <w:sz w:val="24"/>
          <w:szCs w:val="24"/>
          <w:lang w:eastAsia="en-GB"/>
        </w:rPr>
        <w:t>, where for the calculation of group solvency method 1 as defined in Article 230 of Directive 2009/138/EC is used exclusively, the ratio of the value of structured products held by the group to total investments shall be determined by the sum of assets classified in categories 5 and 6, as defined in Annex IV to this Regulation, divided by the sum of items C0010/R0070 and C0010/R0020 of template S.02.01.01. Where, for the calculation of group solvency, method 1 is used in combination with method 2 as defined in Article 233 of Directive 2009/138/EC, or method 2 is used exclusively, the ratio shall be calculated in accordance with the first sentence and adjusted in order to capture the required items of all entities included in the scope of template S.06.02.04.</w:t>
      </w:r>
    </w:p>
    <w:p w14:paraId="4A92BAFB" w14:textId="4733C5DB"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3.   For the purposes of </w:t>
      </w:r>
      <w:r w:rsidRPr="00D5769B">
        <w:rPr>
          <w:rFonts w:ascii="Times New Roman" w:eastAsia="Times New Roman" w:hAnsi="Times New Roman" w:cs="Times New Roman"/>
          <w:color w:val="000000"/>
          <w:sz w:val="24"/>
          <w:szCs w:val="24"/>
          <w:lang w:eastAsia="en-GB"/>
        </w:rPr>
        <w:t>point (</w:t>
      </w:r>
      <w:r w:rsidR="00E220EE">
        <w:rPr>
          <w:rFonts w:ascii="Times New Roman" w:eastAsia="Times New Roman" w:hAnsi="Times New Roman" w:cs="Times New Roman"/>
          <w:color w:val="000000"/>
          <w:sz w:val="24"/>
          <w:szCs w:val="24"/>
          <w:lang w:eastAsia="en-GB"/>
        </w:rPr>
        <w:t>f</w:t>
      </w:r>
      <w:r w:rsidRPr="00D5769B">
        <w:rPr>
          <w:rFonts w:ascii="Times New Roman" w:eastAsia="Times New Roman" w:hAnsi="Times New Roman" w:cs="Times New Roman"/>
          <w:color w:val="000000"/>
          <w:sz w:val="24"/>
          <w:szCs w:val="24"/>
          <w:lang w:eastAsia="en-GB"/>
        </w:rPr>
        <w:t>) of paragraph 1</w:t>
      </w:r>
      <w:r w:rsidRPr="000A3A8F">
        <w:rPr>
          <w:rFonts w:ascii="Times New Roman" w:eastAsia="Times New Roman" w:hAnsi="Times New Roman" w:cs="Times New Roman"/>
          <w:color w:val="000000"/>
          <w:sz w:val="24"/>
          <w:szCs w:val="24"/>
          <w:lang w:eastAsia="en-GB"/>
        </w:rPr>
        <w:t xml:space="preserve">, where for the calculation of group solvency method 1 as defined in Article 230 of Directive 2009/138/EC is used exclusively, the ratio shall be determined by the sum of the underlying securities, on and off balance sheet, involved in </w:t>
      </w:r>
      <w:r w:rsidRPr="000A3A8F">
        <w:rPr>
          <w:rFonts w:ascii="Times New Roman" w:eastAsia="Times New Roman" w:hAnsi="Times New Roman" w:cs="Times New Roman"/>
          <w:color w:val="000000"/>
          <w:sz w:val="24"/>
          <w:szCs w:val="24"/>
          <w:lang w:eastAsia="en-GB"/>
        </w:rPr>
        <w:lastRenderedPageBreak/>
        <w:t>lending or repurchase agreements, for contracts with maturity dates falling after the reporting reference date, divided by the sum of items C0010/R0070 and C0010/R0220 of template S.02.01.01. Where, for the calculation of group solvency, method 1 is used in combination with method 2 as defined in Article 233 of Directive 2009/138/EC, or method 2 is used exclusively, the ratio shall be calculated in accordance with the first sentence and adjusted in order to capture the required items of all entities included in the scope of template S.06.02.04.</w:t>
      </w:r>
    </w:p>
    <w:p w14:paraId="00899DE5" w14:textId="3DF3A910" w:rsidR="000A3A8F" w:rsidRPr="000A3A8F" w:rsidRDefault="00512A6D"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27</w:t>
      </w:r>
    </w:p>
    <w:p w14:paraId="3A7B1310"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Long term guarantees information</w:t>
      </w:r>
    </w:p>
    <w:p w14:paraId="1E97217C"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annually the information referred to in Article 304(1)(d) of Delegated Regulation (EU) 2015/35, in conjunction with Article 372(1) of that Delegated Regulation, using template S.22.01.04 of Annex I to this Regulation, specifying information on the impact of the long term guarantees and transitional measures, following the instructions set out in section S.22.01 of Annex III to this Regulation.</w:t>
      </w:r>
    </w:p>
    <w:p w14:paraId="26EC5ABB" w14:textId="0AF05736" w:rsidR="000A3A8F" w:rsidRPr="000A3A8F" w:rsidRDefault="001A66FA"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2</w:t>
      </w:r>
      <w:r w:rsidR="00512A6D">
        <w:rPr>
          <w:rFonts w:ascii="Times New Roman" w:eastAsia="Times New Roman" w:hAnsi="Times New Roman" w:cs="Times New Roman"/>
          <w:i/>
          <w:iCs/>
          <w:color w:val="000000"/>
          <w:sz w:val="24"/>
          <w:szCs w:val="24"/>
          <w:lang w:eastAsia="en-GB"/>
        </w:rPr>
        <w:t>8</w:t>
      </w:r>
    </w:p>
    <w:p w14:paraId="546172C0"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Own funds information</w:t>
      </w:r>
    </w:p>
    <w:p w14:paraId="397C2025"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3946B095" w14:textId="77777777" w:rsidTr="000A3A8F">
        <w:tc>
          <w:tcPr>
            <w:tcW w:w="0" w:type="auto"/>
            <w:shd w:val="clear" w:color="auto" w:fill="FFFFFF"/>
            <w:hideMark/>
          </w:tcPr>
          <w:p w14:paraId="69E9F099"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4EC01085"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S.23.01.04 of Annex I, specifying information on own funds, following the instructions set out in section S.23.01 of Annex III;</w:t>
            </w:r>
          </w:p>
        </w:tc>
      </w:tr>
    </w:tbl>
    <w:p w14:paraId="67F11E0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400E1A6" w14:textId="77777777" w:rsidTr="000A3A8F">
        <w:tc>
          <w:tcPr>
            <w:tcW w:w="0" w:type="auto"/>
            <w:shd w:val="clear" w:color="auto" w:fill="FFFFFF"/>
            <w:hideMark/>
          </w:tcPr>
          <w:p w14:paraId="281A64A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1793967C"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S.23.02.04 of Annex I, providing detailed information on own funds by tiers, following the instructions set out in section S.23.02 of Annex III;</w:t>
            </w:r>
          </w:p>
        </w:tc>
      </w:tr>
    </w:tbl>
    <w:p w14:paraId="00DD658A"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E564DB" w14:paraId="4806E323" w14:textId="77777777" w:rsidTr="000A3A8F">
        <w:tc>
          <w:tcPr>
            <w:tcW w:w="0" w:type="auto"/>
            <w:shd w:val="clear" w:color="auto" w:fill="FFFFFF"/>
            <w:hideMark/>
          </w:tcPr>
          <w:p w14:paraId="488D1681" w14:textId="77777777" w:rsidR="000A3A8F" w:rsidRPr="00E564DB" w:rsidRDefault="000A3A8F" w:rsidP="000A3A8F">
            <w:pPr>
              <w:spacing w:before="120" w:after="0" w:line="240" w:lineRule="auto"/>
              <w:jc w:val="both"/>
              <w:rPr>
                <w:rFonts w:ascii="inherit" w:eastAsia="Times New Roman" w:hAnsi="inherit" w:cs="Times New Roman"/>
                <w:color w:val="000000"/>
                <w:sz w:val="24"/>
                <w:szCs w:val="24"/>
                <w:lang w:eastAsia="en-GB"/>
              </w:rPr>
            </w:pPr>
            <w:r w:rsidRPr="00E564DB">
              <w:rPr>
                <w:rFonts w:ascii="inherit" w:eastAsia="Times New Roman" w:hAnsi="inherit" w:cs="Times New Roman"/>
                <w:color w:val="000000"/>
                <w:sz w:val="24"/>
                <w:szCs w:val="24"/>
                <w:lang w:eastAsia="en-GB"/>
              </w:rPr>
              <w:t>(c)</w:t>
            </w:r>
          </w:p>
        </w:tc>
        <w:tc>
          <w:tcPr>
            <w:tcW w:w="0" w:type="auto"/>
            <w:shd w:val="clear" w:color="auto" w:fill="FFFFFF"/>
            <w:hideMark/>
          </w:tcPr>
          <w:p w14:paraId="67A5359E" w14:textId="4D9DBC5B" w:rsidR="000A3A8F" w:rsidRPr="00E564DB" w:rsidRDefault="0016777E" w:rsidP="000A3A8F">
            <w:pPr>
              <w:spacing w:before="120" w:after="0" w:line="240" w:lineRule="auto"/>
              <w:jc w:val="both"/>
              <w:rPr>
                <w:rFonts w:ascii="inherit" w:eastAsia="Times New Roman" w:hAnsi="inherit" w:cs="Times New Roman"/>
                <w:color w:val="000000"/>
                <w:sz w:val="24"/>
                <w:szCs w:val="24"/>
                <w:lang w:eastAsia="en-GB"/>
              </w:rPr>
            </w:pPr>
            <w:r w:rsidRPr="00E564DB">
              <w:rPr>
                <w:rFonts w:ascii="inherit" w:eastAsia="Times New Roman" w:hAnsi="inherit" w:cs="Times New Roman"/>
                <w:color w:val="000000"/>
                <w:sz w:val="24"/>
                <w:szCs w:val="24"/>
                <w:lang w:eastAsia="en-GB"/>
              </w:rPr>
              <w:t>w</w:t>
            </w:r>
            <w:r w:rsidR="00B44087" w:rsidRPr="00E564DB">
              <w:rPr>
                <w:rFonts w:ascii="inherit" w:eastAsia="Times New Roman" w:hAnsi="inherit" w:cs="Times New Roman"/>
                <w:color w:val="000000"/>
                <w:sz w:val="24"/>
                <w:szCs w:val="24"/>
                <w:lang w:eastAsia="en-GB"/>
              </w:rPr>
              <w:t xml:space="preserve">here the own funds </w:t>
            </w:r>
            <w:r w:rsidR="005521A6" w:rsidRPr="00E564DB">
              <w:rPr>
                <w:rFonts w:ascii="inherit" w:eastAsia="Times New Roman" w:hAnsi="inherit" w:cs="Times New Roman"/>
                <w:color w:val="000000"/>
                <w:sz w:val="24"/>
                <w:szCs w:val="24"/>
                <w:lang w:eastAsia="en-GB"/>
              </w:rPr>
              <w:t xml:space="preserve">amount for any tier change more than 5% </w:t>
            </w:r>
            <w:r w:rsidR="00B44087" w:rsidRPr="00E564DB">
              <w:rPr>
                <w:rFonts w:ascii="inherit" w:eastAsia="Times New Roman" w:hAnsi="inherit" w:cs="Times New Roman"/>
                <w:color w:val="000000"/>
                <w:sz w:val="24"/>
                <w:szCs w:val="24"/>
                <w:lang w:eastAsia="en-GB"/>
              </w:rPr>
              <w:t>compared to the previous year</w:t>
            </w:r>
            <w:r w:rsidR="00B44087" w:rsidRPr="00B17D54">
              <w:rPr>
                <w:rFonts w:ascii="inherit" w:eastAsia="Times New Roman" w:hAnsi="inherit" w:cs="Times New Roman"/>
                <w:color w:val="000000"/>
                <w:sz w:val="24"/>
                <w:szCs w:val="24"/>
                <w:lang w:eastAsia="en-GB"/>
              </w:rPr>
              <w:t xml:space="preserve">, </w:t>
            </w:r>
            <w:r w:rsidR="000A3A8F" w:rsidRPr="00B17D54">
              <w:rPr>
                <w:rFonts w:ascii="inherit" w:eastAsia="Times New Roman" w:hAnsi="inherit" w:cs="Times New Roman"/>
                <w:color w:val="000000"/>
                <w:sz w:val="24"/>
                <w:szCs w:val="24"/>
                <w:lang w:eastAsia="en-GB"/>
              </w:rPr>
              <w:t>template S.23.03.04 of Annex I, specifying information on annual movements on own funds, following the instructions set out in section S.23.03 of Annex III;</w:t>
            </w:r>
          </w:p>
        </w:tc>
      </w:tr>
    </w:tbl>
    <w:p w14:paraId="4B448F67" w14:textId="77777777" w:rsidR="000A3A8F" w:rsidRPr="00E564DB"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521C58F8" w14:textId="77777777" w:rsidTr="000A3A8F">
        <w:tc>
          <w:tcPr>
            <w:tcW w:w="0" w:type="auto"/>
            <w:shd w:val="clear" w:color="auto" w:fill="FFFFFF"/>
            <w:hideMark/>
          </w:tcPr>
          <w:p w14:paraId="203E4C85" w14:textId="77777777" w:rsidR="000A3A8F" w:rsidRPr="00E564DB" w:rsidRDefault="000A3A8F" w:rsidP="000A3A8F">
            <w:pPr>
              <w:spacing w:before="120" w:after="0" w:line="240" w:lineRule="auto"/>
              <w:jc w:val="both"/>
              <w:rPr>
                <w:rFonts w:ascii="inherit" w:eastAsia="Times New Roman" w:hAnsi="inherit" w:cs="Times New Roman"/>
                <w:color w:val="000000"/>
                <w:sz w:val="24"/>
                <w:szCs w:val="24"/>
                <w:lang w:eastAsia="en-GB"/>
              </w:rPr>
            </w:pPr>
            <w:r w:rsidRPr="00E564DB">
              <w:rPr>
                <w:rFonts w:ascii="inherit" w:eastAsia="Times New Roman" w:hAnsi="inherit" w:cs="Times New Roman"/>
                <w:color w:val="000000"/>
                <w:sz w:val="24"/>
                <w:szCs w:val="24"/>
                <w:lang w:eastAsia="en-GB"/>
              </w:rPr>
              <w:t>(d)</w:t>
            </w:r>
          </w:p>
        </w:tc>
        <w:tc>
          <w:tcPr>
            <w:tcW w:w="0" w:type="auto"/>
            <w:shd w:val="clear" w:color="auto" w:fill="FFFFFF"/>
            <w:hideMark/>
          </w:tcPr>
          <w:p w14:paraId="110A4596" w14:textId="65CCA86C" w:rsidR="000A3A8F" w:rsidRPr="000A3A8F" w:rsidRDefault="0016777E" w:rsidP="000A3A8F">
            <w:pPr>
              <w:spacing w:before="120" w:after="0" w:line="240" w:lineRule="auto"/>
              <w:jc w:val="both"/>
              <w:rPr>
                <w:rFonts w:ascii="inherit" w:eastAsia="Times New Roman" w:hAnsi="inherit" w:cs="Times New Roman"/>
                <w:color w:val="000000"/>
                <w:sz w:val="24"/>
                <w:szCs w:val="24"/>
                <w:lang w:eastAsia="en-GB"/>
              </w:rPr>
            </w:pPr>
            <w:r w:rsidRPr="00E564DB">
              <w:rPr>
                <w:rFonts w:ascii="inherit" w:eastAsia="Times New Roman" w:hAnsi="inherit" w:cs="Times New Roman"/>
                <w:color w:val="000000"/>
                <w:sz w:val="24"/>
                <w:szCs w:val="24"/>
                <w:lang w:eastAsia="en-GB"/>
              </w:rPr>
              <w:t>w</w:t>
            </w:r>
            <w:r w:rsidR="00B44087" w:rsidRPr="00E564DB">
              <w:rPr>
                <w:rFonts w:ascii="inherit" w:eastAsia="Times New Roman" w:hAnsi="inherit" w:cs="Times New Roman"/>
                <w:color w:val="000000"/>
                <w:sz w:val="24"/>
                <w:szCs w:val="24"/>
                <w:lang w:eastAsia="en-GB"/>
              </w:rPr>
              <w:t xml:space="preserve">here the own funds </w:t>
            </w:r>
            <w:r w:rsidR="005521A6" w:rsidRPr="00E564DB">
              <w:rPr>
                <w:rFonts w:ascii="inherit" w:eastAsia="Times New Roman" w:hAnsi="inherit" w:cs="Times New Roman"/>
                <w:color w:val="000000"/>
                <w:sz w:val="24"/>
                <w:szCs w:val="24"/>
                <w:lang w:eastAsia="en-GB"/>
              </w:rPr>
              <w:t xml:space="preserve">amount for any tier change more than 5% </w:t>
            </w:r>
            <w:r w:rsidR="00B44087" w:rsidRPr="00E564DB">
              <w:rPr>
                <w:rFonts w:ascii="inherit" w:eastAsia="Times New Roman" w:hAnsi="inherit" w:cs="Times New Roman"/>
                <w:color w:val="000000"/>
                <w:sz w:val="24"/>
                <w:szCs w:val="24"/>
                <w:lang w:eastAsia="en-GB"/>
              </w:rPr>
              <w:t>compared to the previous year</w:t>
            </w:r>
            <w:r w:rsidR="00B44087" w:rsidRPr="00B17D54">
              <w:rPr>
                <w:rFonts w:ascii="inherit" w:eastAsia="Times New Roman" w:hAnsi="inherit" w:cs="Times New Roman"/>
                <w:color w:val="000000"/>
                <w:sz w:val="24"/>
                <w:szCs w:val="24"/>
                <w:lang w:eastAsia="en-GB"/>
              </w:rPr>
              <w:t xml:space="preserve">, </w:t>
            </w:r>
            <w:r w:rsidR="000A3A8F" w:rsidRPr="00B17D54">
              <w:rPr>
                <w:rFonts w:ascii="inherit" w:eastAsia="Times New Roman" w:hAnsi="inherit" w:cs="Times New Roman"/>
                <w:color w:val="000000"/>
                <w:sz w:val="24"/>
                <w:szCs w:val="24"/>
                <w:lang w:eastAsia="en-GB"/>
              </w:rPr>
              <w:t>template S.23.04.04 of Annex I, providing a list of items on own funds, following the instructions set out in section S.23.04 of Annex III.</w:t>
            </w:r>
            <w:r w:rsidR="00AE6527" w:rsidRPr="00E564DB">
              <w:rPr>
                <w:rFonts w:ascii="inherit" w:eastAsia="Times New Roman" w:hAnsi="inherit" w:cs="Times New Roman"/>
                <w:color w:val="000000"/>
                <w:sz w:val="24"/>
                <w:szCs w:val="24"/>
                <w:lang w:eastAsia="en-GB"/>
              </w:rPr>
              <w:t xml:space="preserve"> The template is to be reported in the presence of non-available own fund items, regardless of the threshold.</w:t>
            </w:r>
          </w:p>
        </w:tc>
      </w:tr>
    </w:tbl>
    <w:p w14:paraId="248DF4E4"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2.   The templates referred to in </w:t>
      </w:r>
      <w:r w:rsidRPr="00C969C5">
        <w:rPr>
          <w:rFonts w:ascii="Times New Roman" w:eastAsia="Times New Roman" w:hAnsi="Times New Roman" w:cs="Times New Roman"/>
          <w:color w:val="000000"/>
          <w:sz w:val="24"/>
          <w:szCs w:val="24"/>
          <w:lang w:eastAsia="en-GB"/>
        </w:rPr>
        <w:t>points (b) and (c) of paragraph 1</w:t>
      </w:r>
      <w:r w:rsidRPr="000A3A8F">
        <w:rPr>
          <w:rFonts w:ascii="Times New Roman" w:eastAsia="Times New Roman" w:hAnsi="Times New Roman" w:cs="Times New Roman"/>
          <w:color w:val="000000"/>
          <w:sz w:val="24"/>
          <w:szCs w:val="24"/>
          <w:lang w:eastAsia="en-GB"/>
        </w:rPr>
        <w:t xml:space="preserve"> shall only be submitted by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w:t>
      </w:r>
    </w:p>
    <w:p w14:paraId="74F89DA6" w14:textId="068D2A2F" w:rsidR="000A3A8F" w:rsidRPr="000A3A8F" w:rsidRDefault="00512A6D"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29</w:t>
      </w:r>
    </w:p>
    <w:p w14:paraId="00C4ECCF"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Solvency Capital Requirement information</w:t>
      </w:r>
    </w:p>
    <w:p w14:paraId="1DBD6C49" w14:textId="6DA1F758"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lastRenderedPageBreak/>
        <w:t>1.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 shall submit annually the information referred to in Article 304(1)(d) of Delegated Regulation (EU) 2015/35, in conjunction with Article 372(1) of that Delegated Regulation, using the following templates:</w:t>
      </w:r>
    </w:p>
    <w:p w14:paraId="799AD73D" w14:textId="39FA832C"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(a) </w:t>
      </w:r>
      <w:r w:rsidRPr="000A3A8F">
        <w:rPr>
          <w:rFonts w:ascii="inherit" w:eastAsia="Times New Roman" w:hAnsi="inherit" w:cs="Times New Roman"/>
          <w:color w:val="000000"/>
          <w:sz w:val="24"/>
          <w:szCs w:val="24"/>
          <w:lang w:eastAsia="en-GB"/>
        </w:rPr>
        <w:t>where the group uses the standard formula for the calculation of the Solvency Capital Requirement, template S.25.01.04 of Annex I, specifying the Solvency Capital Requirement, following the instructions set out in section S.25.01 of Annex III</w:t>
      </w:r>
      <w:r>
        <w:rPr>
          <w:rFonts w:ascii="inherit" w:eastAsia="Times New Roman" w:hAnsi="inherit" w:cs="Times New Roman"/>
          <w:color w:val="000000"/>
          <w:sz w:val="24"/>
          <w:szCs w:val="24"/>
          <w:lang w:eastAsia="en-GB"/>
        </w:rPr>
        <w:t>;</w:t>
      </w:r>
    </w:p>
    <w:p w14:paraId="5A871376" w14:textId="62BDA9C4"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Pr="000A3A8F">
        <w:rPr>
          <w:rFonts w:ascii="inherit" w:eastAsia="Times New Roman" w:hAnsi="inherit" w:cs="Times New Roman"/>
          <w:color w:val="000000"/>
          <w:sz w:val="24"/>
          <w:szCs w:val="24"/>
          <w:lang w:eastAsia="en-GB"/>
        </w:rPr>
        <w:t xml:space="preserve">where the group uses a partial internal model </w:t>
      </w:r>
      <w:r>
        <w:rPr>
          <w:rFonts w:ascii="inherit" w:eastAsia="Times New Roman" w:hAnsi="inherit" w:cs="Times New Roman"/>
          <w:color w:val="000000"/>
          <w:sz w:val="24"/>
          <w:szCs w:val="24"/>
          <w:lang w:eastAsia="en-GB"/>
        </w:rPr>
        <w:t xml:space="preserve">or a full internal model </w:t>
      </w:r>
      <w:r w:rsidRPr="000A3A8F">
        <w:rPr>
          <w:rFonts w:ascii="inherit" w:eastAsia="Times New Roman" w:hAnsi="inherit" w:cs="Times New Roman"/>
          <w:color w:val="000000"/>
          <w:sz w:val="24"/>
          <w:szCs w:val="24"/>
          <w:lang w:eastAsia="en-GB"/>
        </w:rPr>
        <w:t>for the calculation of the Solvency Capital Requirement, template S.25.0</w:t>
      </w:r>
      <w:r>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.04 of Annex I, specifying the Solvency Capital Requirement, following the instructions set out in section S.25.0</w:t>
      </w:r>
      <w:r>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III</w:t>
      </w:r>
      <w:r>
        <w:rPr>
          <w:rFonts w:ascii="inherit" w:eastAsia="Times New Roman" w:hAnsi="inherit" w:cs="Times New Roman"/>
          <w:color w:val="000000"/>
          <w:sz w:val="24"/>
          <w:szCs w:val="24"/>
          <w:lang w:eastAsia="en-GB"/>
        </w:rPr>
        <w:t>;</w:t>
      </w:r>
    </w:p>
    <w:p w14:paraId="2126A6D0" w14:textId="4382738E"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(c)</w:t>
      </w:r>
      <w:r w:rsidRPr="001A66FA">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S.26.01.04 of Annex I, specifying information on market risk, following the instructions set out in section S.26.01 of Annex III</w:t>
      </w:r>
      <w:r>
        <w:rPr>
          <w:rFonts w:ascii="inherit" w:eastAsia="Times New Roman" w:hAnsi="inherit" w:cs="Times New Roman"/>
          <w:color w:val="000000"/>
          <w:sz w:val="24"/>
          <w:szCs w:val="24"/>
          <w:lang w:eastAsia="en-GB"/>
        </w:rPr>
        <w:t>;</w:t>
      </w:r>
    </w:p>
    <w:p w14:paraId="7E97DC48" w14:textId="2ABBE9E5"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(d)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S.26.02.04 of Annex I, specifying information on counterparty default risk, following the instructions set out in section S.26.02 of Annex III</w:t>
      </w:r>
      <w:r>
        <w:rPr>
          <w:rFonts w:ascii="inherit" w:eastAsia="Times New Roman" w:hAnsi="inherit" w:cs="Times New Roman"/>
          <w:color w:val="000000"/>
          <w:sz w:val="24"/>
          <w:szCs w:val="24"/>
          <w:lang w:eastAsia="en-GB"/>
        </w:rPr>
        <w:t>;</w:t>
      </w:r>
    </w:p>
    <w:p w14:paraId="0608B9DB" w14:textId="075517BC"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1A66FA">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S.26.03.04 of Annex I, specifying information on life underwriting risk, following the instructions set out in section S.26.03 of Annex III</w:t>
      </w:r>
      <w:r>
        <w:rPr>
          <w:rFonts w:ascii="inherit" w:eastAsia="Times New Roman" w:hAnsi="inherit" w:cs="Times New Roman"/>
          <w:color w:val="000000"/>
          <w:sz w:val="24"/>
          <w:szCs w:val="24"/>
          <w:lang w:eastAsia="en-GB"/>
        </w:rPr>
        <w:t>;</w:t>
      </w:r>
    </w:p>
    <w:p w14:paraId="667C3620" w14:textId="535BC5A2"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(f)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S.26.04.04 of Annex I, specifying information on health underwriting risk, following the instructions set out in section S.26.04 of Annex III</w:t>
      </w:r>
      <w:r>
        <w:rPr>
          <w:rFonts w:ascii="inherit" w:eastAsia="Times New Roman" w:hAnsi="inherit" w:cs="Times New Roman"/>
          <w:color w:val="000000"/>
          <w:sz w:val="24"/>
          <w:szCs w:val="24"/>
          <w:lang w:eastAsia="en-GB"/>
        </w:rPr>
        <w:t>;</w:t>
      </w:r>
    </w:p>
    <w:p w14:paraId="02B9CB3F" w14:textId="51C53434"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(g)</w:t>
      </w:r>
      <w:r w:rsidRPr="001A66FA">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S.26.05.04 of Annex I, specifying information on non-life underwriting risk, following the instructions set out in section S.26.05 of Annex III</w:t>
      </w:r>
      <w:r>
        <w:rPr>
          <w:rFonts w:ascii="inherit" w:eastAsia="Times New Roman" w:hAnsi="inherit" w:cs="Times New Roman"/>
          <w:color w:val="000000"/>
          <w:sz w:val="24"/>
          <w:szCs w:val="24"/>
          <w:lang w:eastAsia="en-GB"/>
        </w:rPr>
        <w:t>;</w:t>
      </w:r>
    </w:p>
    <w:p w14:paraId="15707F11" w14:textId="5869C970"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(h)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S.26.06.04 of Annex I, specifying information on operational risk, following the instructions set out in section S.26.06 of Annex III</w:t>
      </w:r>
      <w:r>
        <w:rPr>
          <w:rFonts w:ascii="inherit" w:eastAsia="Times New Roman" w:hAnsi="inherit" w:cs="Times New Roman"/>
          <w:color w:val="000000"/>
          <w:sz w:val="24"/>
          <w:szCs w:val="24"/>
          <w:lang w:eastAsia="en-GB"/>
        </w:rPr>
        <w:t>;</w:t>
      </w:r>
    </w:p>
    <w:p w14:paraId="6D61BCE1" w14:textId="4ED271FF"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t>
      </w: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S.26.07.04 of Annex I, specifying information on the simplifications used in the calculation of the Solvency Capital Requirement, following the instructions set out in section S.26.07 of Annex III</w:t>
      </w:r>
      <w:r>
        <w:rPr>
          <w:rFonts w:ascii="inherit" w:eastAsia="Times New Roman" w:hAnsi="inherit" w:cs="Times New Roman"/>
          <w:color w:val="000000"/>
          <w:sz w:val="24"/>
          <w:szCs w:val="24"/>
          <w:lang w:eastAsia="en-GB"/>
        </w:rPr>
        <w:t>;</w:t>
      </w:r>
    </w:p>
    <w:p w14:paraId="7A6C35C0" w14:textId="3A1E44B9"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(j) template S.26</w:t>
      </w:r>
      <w:r w:rsidRPr="00D54E06">
        <w:rPr>
          <w:rFonts w:ascii="inherit" w:eastAsia="Times New Roman" w:hAnsi="inherit" w:cs="Times New Roman"/>
          <w:color w:val="000000"/>
          <w:sz w:val="24"/>
          <w:szCs w:val="24"/>
          <w:lang w:eastAsia="en-GB"/>
        </w:rPr>
        <w:t xml:space="preserve">.08.04 of Annex I, specifying further information on the internal model used for the Solvency Capital Requirement, for undertakings using a partial internal model or a full internal model, following the instructions set out in section </w:t>
      </w:r>
      <w:r w:rsidRPr="008004A3">
        <w:rPr>
          <w:rFonts w:ascii="inherit" w:eastAsia="Times New Roman" w:hAnsi="inherit" w:cs="Times New Roman"/>
          <w:color w:val="000000"/>
          <w:sz w:val="24"/>
          <w:szCs w:val="24"/>
          <w:lang w:eastAsia="en-GB"/>
        </w:rPr>
        <w:t>S.26.0</w:t>
      </w:r>
      <w:r w:rsidRPr="00D54E06">
        <w:rPr>
          <w:rFonts w:ascii="inherit" w:eastAsia="Times New Roman" w:hAnsi="inherit" w:cs="Times New Roman"/>
          <w:color w:val="000000"/>
          <w:sz w:val="24"/>
          <w:szCs w:val="24"/>
          <w:lang w:eastAsia="en-GB"/>
        </w:rPr>
        <w:t>8 of Annex III</w:t>
      </w:r>
      <w:r>
        <w:rPr>
          <w:rFonts w:ascii="inherit" w:eastAsia="Times New Roman" w:hAnsi="inherit" w:cs="Times New Roman"/>
          <w:color w:val="000000"/>
          <w:sz w:val="24"/>
          <w:szCs w:val="24"/>
          <w:lang w:eastAsia="en-GB"/>
        </w:rPr>
        <w:t>;</w:t>
      </w:r>
    </w:p>
    <w:p w14:paraId="363F3D62" w14:textId="7B39CC6B" w:rsidR="001A66FA" w:rsidRDefault="001A66FA"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(k) </w:t>
      </w:r>
      <w:proofErr w:type="gramStart"/>
      <w:r w:rsidR="00667EDB" w:rsidRPr="00D54E06">
        <w:rPr>
          <w:rFonts w:ascii="inherit" w:eastAsia="Times New Roman" w:hAnsi="inherit" w:cs="Times New Roman"/>
          <w:color w:val="000000"/>
          <w:sz w:val="24"/>
          <w:szCs w:val="24"/>
          <w:lang w:eastAsia="en-GB"/>
        </w:rPr>
        <w:t>template</w:t>
      </w:r>
      <w:proofErr w:type="gramEnd"/>
      <w:r w:rsidR="00667EDB" w:rsidRPr="00D54E06">
        <w:rPr>
          <w:rFonts w:ascii="inherit" w:eastAsia="Times New Roman" w:hAnsi="inherit" w:cs="Times New Roman"/>
          <w:color w:val="000000"/>
          <w:sz w:val="24"/>
          <w:szCs w:val="24"/>
          <w:lang w:eastAsia="en-GB"/>
        </w:rPr>
        <w:t xml:space="preserve"> S.26.09.04 of Annex I, </w:t>
      </w:r>
      <w:r w:rsidR="00667EDB" w:rsidRPr="00F40A4B">
        <w:rPr>
          <w:rFonts w:ascii="inherit" w:eastAsia="Times New Roman" w:hAnsi="inherit" w:cs="Times New Roman"/>
          <w:color w:val="000000"/>
          <w:sz w:val="24"/>
          <w:szCs w:val="24"/>
          <w:lang w:eastAsia="en-GB"/>
        </w:rPr>
        <w:t xml:space="preserve">specifying information on internal model market </w:t>
      </w:r>
      <w:r w:rsidR="00667EDB">
        <w:rPr>
          <w:rFonts w:ascii="inherit" w:eastAsia="Times New Roman" w:hAnsi="inherit" w:cs="Times New Roman"/>
          <w:color w:val="000000"/>
          <w:sz w:val="24"/>
          <w:szCs w:val="24"/>
          <w:lang w:eastAsia="en-GB"/>
        </w:rPr>
        <w:t>and</w:t>
      </w:r>
      <w:r w:rsidR="00667EDB" w:rsidRPr="00F40A4B">
        <w:rPr>
          <w:rFonts w:ascii="inherit" w:eastAsia="Times New Roman" w:hAnsi="inherit" w:cs="Times New Roman"/>
          <w:color w:val="000000"/>
          <w:sz w:val="24"/>
          <w:szCs w:val="24"/>
          <w:lang w:eastAsia="en-GB"/>
        </w:rPr>
        <w:t xml:space="preserve"> credit risk for financial instruments</w:t>
      </w:r>
      <w:r w:rsidR="00667EDB" w:rsidRPr="00D54E06">
        <w:rPr>
          <w:rFonts w:ascii="inherit" w:eastAsia="Times New Roman" w:hAnsi="inherit" w:cs="Times New Roman"/>
          <w:color w:val="000000"/>
          <w:sz w:val="24"/>
          <w:szCs w:val="24"/>
          <w:lang w:eastAsia="en-GB"/>
        </w:rPr>
        <w:t xml:space="preserve">, following the instructions set out in section </w:t>
      </w:r>
      <w:r w:rsidR="00667EDB" w:rsidRPr="008004A3">
        <w:rPr>
          <w:rFonts w:ascii="inherit" w:eastAsia="Times New Roman" w:hAnsi="inherit" w:cs="Times New Roman"/>
          <w:color w:val="000000"/>
          <w:sz w:val="24"/>
          <w:szCs w:val="24"/>
          <w:lang w:eastAsia="en-GB"/>
        </w:rPr>
        <w:t>S.26.09</w:t>
      </w:r>
      <w:r w:rsidR="00667EDB" w:rsidRPr="00D54E06">
        <w:rPr>
          <w:rFonts w:ascii="inherit" w:eastAsia="Times New Roman" w:hAnsi="inherit" w:cs="Times New Roman"/>
          <w:color w:val="000000"/>
          <w:sz w:val="24"/>
          <w:szCs w:val="24"/>
          <w:lang w:eastAsia="en-GB"/>
        </w:rPr>
        <w:t xml:space="preserve"> of Annex </w:t>
      </w:r>
      <w:r w:rsidR="00667EDB" w:rsidRPr="008004A3">
        <w:rPr>
          <w:rFonts w:ascii="inherit" w:eastAsia="Times New Roman" w:hAnsi="inherit" w:cs="Times New Roman"/>
          <w:color w:val="000000"/>
          <w:sz w:val="24"/>
          <w:szCs w:val="24"/>
          <w:lang w:eastAsia="en-GB"/>
        </w:rPr>
        <w:t>III</w:t>
      </w:r>
      <w:r w:rsidR="00667EDB">
        <w:rPr>
          <w:rFonts w:ascii="inherit" w:eastAsia="Times New Roman" w:hAnsi="inherit" w:cs="Times New Roman"/>
          <w:color w:val="000000"/>
          <w:sz w:val="24"/>
          <w:szCs w:val="24"/>
          <w:lang w:eastAsia="en-GB"/>
        </w:rPr>
        <w:t>;</w:t>
      </w:r>
    </w:p>
    <w:p w14:paraId="7364164F" w14:textId="0188106F"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(l) </w:t>
      </w:r>
      <w:r w:rsidRPr="00D54E06">
        <w:rPr>
          <w:rFonts w:ascii="inherit" w:eastAsia="Times New Roman" w:hAnsi="inherit" w:cs="Times New Roman"/>
          <w:color w:val="000000"/>
          <w:sz w:val="24"/>
          <w:szCs w:val="24"/>
          <w:lang w:eastAsia="en-GB"/>
        </w:rPr>
        <w:t xml:space="preserve">template S.26.10.04 of Annex I, </w:t>
      </w:r>
      <w:r w:rsidRPr="00F40A4B">
        <w:rPr>
          <w:rFonts w:ascii="inherit" w:eastAsia="Times New Roman" w:hAnsi="inherit" w:cs="Times New Roman"/>
          <w:color w:val="000000"/>
          <w:sz w:val="24"/>
          <w:szCs w:val="24"/>
          <w:lang w:eastAsia="en-GB"/>
        </w:rPr>
        <w:t xml:space="preserve">specifying information on internal model portfolio view details </w:t>
      </w:r>
      <w:r>
        <w:rPr>
          <w:rFonts w:ascii="inherit" w:eastAsia="Times New Roman" w:hAnsi="inherit" w:cs="Times New Roman"/>
          <w:color w:val="000000"/>
          <w:sz w:val="24"/>
          <w:szCs w:val="24"/>
          <w:lang w:eastAsia="en-GB"/>
        </w:rPr>
        <w:t xml:space="preserve">of </w:t>
      </w:r>
      <w:r w:rsidRPr="00F40A4B">
        <w:rPr>
          <w:rFonts w:ascii="inherit" w:eastAsia="Times New Roman" w:hAnsi="inherit" w:cs="Times New Roman"/>
          <w:color w:val="000000"/>
          <w:sz w:val="24"/>
          <w:szCs w:val="24"/>
          <w:lang w:eastAsia="en-GB"/>
        </w:rPr>
        <w:t>credit event risk</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S.26.10</w:t>
      </w:r>
      <w:r w:rsidRPr="00D54E06">
        <w:rPr>
          <w:rFonts w:ascii="inherit" w:eastAsia="Times New Roman" w:hAnsi="inherit" w:cs="Times New Roman"/>
          <w:color w:val="000000"/>
          <w:sz w:val="24"/>
          <w:szCs w:val="24"/>
          <w:lang w:eastAsia="en-GB"/>
        </w:rPr>
        <w:t xml:space="preserve">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5BEB201B" w14:textId="7E87D94F"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(m) </w:t>
      </w:r>
      <w:r w:rsidRPr="00D54E06">
        <w:rPr>
          <w:rFonts w:ascii="inherit" w:eastAsia="Times New Roman" w:hAnsi="inherit" w:cs="Times New Roman"/>
          <w:color w:val="000000"/>
          <w:sz w:val="24"/>
          <w:szCs w:val="24"/>
          <w:lang w:eastAsia="en-GB"/>
        </w:rPr>
        <w:t xml:space="preserve">template S.26.11.04 of Annex I, </w:t>
      </w:r>
      <w:r w:rsidRPr="00F40A4B">
        <w:rPr>
          <w:rFonts w:ascii="inherit" w:eastAsia="Times New Roman" w:hAnsi="inherit" w:cs="Times New Roman"/>
          <w:color w:val="000000"/>
          <w:sz w:val="24"/>
          <w:szCs w:val="24"/>
          <w:lang w:eastAsia="en-GB"/>
        </w:rPr>
        <w:t>specifying information on internal model details for financial instruments</w:t>
      </w:r>
      <w:r>
        <w:rPr>
          <w:rFonts w:ascii="inherit" w:eastAsia="Times New Roman" w:hAnsi="inherit" w:cs="Times New Roman"/>
          <w:color w:val="000000"/>
          <w:sz w:val="24"/>
          <w:szCs w:val="24"/>
          <w:lang w:eastAsia="en-GB"/>
        </w:rPr>
        <w:t xml:space="preserve"> of</w:t>
      </w:r>
      <w:r w:rsidRPr="00F40A4B">
        <w:rPr>
          <w:rFonts w:ascii="inherit" w:eastAsia="Times New Roman" w:hAnsi="inherit" w:cs="Times New Roman"/>
          <w:color w:val="000000"/>
          <w:sz w:val="24"/>
          <w:szCs w:val="24"/>
          <w:lang w:eastAsia="en-GB"/>
        </w:rPr>
        <w:t xml:space="preserve"> credit risk</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S.26.</w:t>
      </w:r>
      <w:r w:rsidRPr="00D54E06">
        <w:rPr>
          <w:rFonts w:ascii="inherit" w:eastAsia="Times New Roman" w:hAnsi="inherit" w:cs="Times New Roman"/>
          <w:color w:val="000000"/>
          <w:sz w:val="24"/>
          <w:szCs w:val="24"/>
          <w:lang w:eastAsia="en-GB"/>
        </w:rPr>
        <w:t xml:space="preserve">11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3CA8A981" w14:textId="67BD7691"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(n) </w:t>
      </w:r>
      <w:proofErr w:type="gramStart"/>
      <w:r w:rsidRPr="00D54E06">
        <w:rPr>
          <w:rFonts w:ascii="inherit" w:eastAsia="Times New Roman" w:hAnsi="inherit" w:cs="Times New Roman"/>
          <w:color w:val="000000"/>
          <w:sz w:val="24"/>
          <w:szCs w:val="24"/>
          <w:lang w:eastAsia="en-GB"/>
        </w:rPr>
        <w:t>template</w:t>
      </w:r>
      <w:proofErr w:type="gramEnd"/>
      <w:r w:rsidRPr="00D54E06">
        <w:rPr>
          <w:rFonts w:ascii="inherit" w:eastAsia="Times New Roman" w:hAnsi="inherit" w:cs="Times New Roman"/>
          <w:color w:val="000000"/>
          <w:sz w:val="24"/>
          <w:szCs w:val="24"/>
          <w:lang w:eastAsia="en-GB"/>
        </w:rPr>
        <w:t xml:space="preserve"> S.26.12.04 of Annex I, </w:t>
      </w:r>
      <w:r w:rsidRPr="00F40A4B">
        <w:rPr>
          <w:rFonts w:ascii="inherit" w:eastAsia="Times New Roman" w:hAnsi="inherit" w:cs="Times New Roman"/>
          <w:color w:val="000000"/>
          <w:sz w:val="24"/>
          <w:szCs w:val="24"/>
          <w:lang w:eastAsia="en-GB"/>
        </w:rPr>
        <w:t>specifying information on internal model for non-financial instruments</w:t>
      </w:r>
      <w:r>
        <w:rPr>
          <w:rFonts w:ascii="inherit" w:eastAsia="Times New Roman" w:hAnsi="inherit" w:cs="Times New Roman"/>
          <w:color w:val="000000"/>
          <w:sz w:val="24"/>
          <w:szCs w:val="24"/>
          <w:lang w:eastAsia="en-GB"/>
        </w:rPr>
        <w:t xml:space="preserve"> of</w:t>
      </w:r>
      <w:r w:rsidRPr="00F40A4B">
        <w:rPr>
          <w:rFonts w:ascii="inherit" w:eastAsia="Times New Roman" w:hAnsi="inherit" w:cs="Times New Roman"/>
          <w:color w:val="000000"/>
          <w:sz w:val="24"/>
          <w:szCs w:val="24"/>
          <w:lang w:eastAsia="en-GB"/>
        </w:rPr>
        <w:t xml:space="preserve"> credit risk</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S.26.</w:t>
      </w:r>
      <w:r w:rsidRPr="00D54E06">
        <w:rPr>
          <w:rFonts w:ascii="inherit" w:eastAsia="Times New Roman" w:hAnsi="inherit" w:cs="Times New Roman"/>
          <w:color w:val="000000"/>
          <w:sz w:val="24"/>
          <w:szCs w:val="24"/>
          <w:lang w:eastAsia="en-GB"/>
        </w:rPr>
        <w:t xml:space="preserve">12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6A7A88C4" w14:textId="52F54C2E"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 xml:space="preserve">(o) </w:t>
      </w:r>
      <w:r w:rsidRPr="00F40A4B">
        <w:rPr>
          <w:rFonts w:ascii="inherit" w:eastAsia="Times New Roman" w:hAnsi="inherit" w:cs="Times New Roman"/>
          <w:color w:val="000000"/>
          <w:sz w:val="24"/>
          <w:szCs w:val="24"/>
          <w:lang w:eastAsia="en-GB"/>
        </w:rPr>
        <w:t>te</w:t>
      </w:r>
      <w:r w:rsidRPr="00D54E06">
        <w:rPr>
          <w:rFonts w:ascii="inherit" w:eastAsia="Times New Roman" w:hAnsi="inherit" w:cs="Times New Roman"/>
          <w:color w:val="000000"/>
          <w:sz w:val="24"/>
          <w:szCs w:val="24"/>
          <w:lang w:eastAsia="en-GB"/>
        </w:rPr>
        <w:t xml:space="preserve">mplate S.26.13.04 of Annex I, </w:t>
      </w:r>
      <w:r w:rsidRPr="00F40A4B">
        <w:rPr>
          <w:rFonts w:ascii="inherit" w:eastAsia="Times New Roman" w:hAnsi="inherit" w:cs="Times New Roman"/>
          <w:color w:val="000000"/>
          <w:sz w:val="24"/>
          <w:szCs w:val="24"/>
          <w:lang w:eastAsia="en-GB"/>
        </w:rPr>
        <w:t>specifying information on internal model</w:t>
      </w:r>
      <w:r>
        <w:rPr>
          <w:rFonts w:ascii="inherit" w:eastAsia="Times New Roman" w:hAnsi="inherit" w:cs="Times New Roman"/>
          <w:color w:val="000000"/>
          <w:sz w:val="24"/>
          <w:szCs w:val="24"/>
          <w:lang w:eastAsia="en-GB"/>
        </w:rPr>
        <w:t xml:space="preserve"> </w:t>
      </w:r>
      <w:r w:rsidRPr="00F40A4B">
        <w:rPr>
          <w:rFonts w:ascii="inherit" w:eastAsia="Times New Roman" w:hAnsi="inherit" w:cs="Times New Roman"/>
          <w:color w:val="000000"/>
          <w:sz w:val="24"/>
          <w:szCs w:val="24"/>
          <w:lang w:eastAsia="en-GB"/>
        </w:rPr>
        <w:t xml:space="preserve">non-life </w:t>
      </w:r>
      <w:r>
        <w:rPr>
          <w:rFonts w:ascii="inherit" w:eastAsia="Times New Roman" w:hAnsi="inherit" w:cs="Times New Roman"/>
          <w:color w:val="000000"/>
          <w:sz w:val="24"/>
          <w:szCs w:val="24"/>
          <w:lang w:eastAsia="en-GB"/>
        </w:rPr>
        <w:t xml:space="preserve">and </w:t>
      </w:r>
      <w:r w:rsidRPr="00F40A4B">
        <w:rPr>
          <w:rFonts w:ascii="inherit" w:eastAsia="Times New Roman" w:hAnsi="inherit" w:cs="Times New Roman"/>
          <w:color w:val="000000"/>
          <w:sz w:val="24"/>
          <w:szCs w:val="24"/>
          <w:lang w:eastAsia="en-GB"/>
        </w:rPr>
        <w:t>health NSLT underwriting risk</w:t>
      </w:r>
      <w:r>
        <w:rPr>
          <w:rFonts w:ascii="inherit" w:eastAsia="Times New Roman" w:hAnsi="inherit" w:cs="Times New Roman"/>
          <w:color w:val="000000"/>
          <w:sz w:val="24"/>
          <w:szCs w:val="24"/>
          <w:lang w:eastAsia="en-GB"/>
        </w:rPr>
        <w:t>,</w:t>
      </w:r>
      <w:r w:rsidRPr="00D54E06" w:rsidDel="005521A6">
        <w:rPr>
          <w:rFonts w:ascii="inherit" w:eastAsia="Times New Roman" w:hAnsi="inherit" w:cs="Times New Roman"/>
          <w:color w:val="000000"/>
          <w:sz w:val="24"/>
          <w:szCs w:val="24"/>
          <w:lang w:eastAsia="en-GB"/>
        </w:rPr>
        <w:t xml:space="preserve"> </w:t>
      </w:r>
      <w:r w:rsidRPr="00D54E06">
        <w:rPr>
          <w:rFonts w:ascii="inherit" w:eastAsia="Times New Roman" w:hAnsi="inherit" w:cs="Times New Roman"/>
          <w:color w:val="000000"/>
          <w:sz w:val="24"/>
          <w:szCs w:val="24"/>
          <w:lang w:eastAsia="en-GB"/>
        </w:rPr>
        <w:t xml:space="preserve">following the instructions set out in section </w:t>
      </w:r>
      <w:r w:rsidRPr="008004A3">
        <w:rPr>
          <w:rFonts w:ascii="inherit" w:eastAsia="Times New Roman" w:hAnsi="inherit" w:cs="Times New Roman"/>
          <w:color w:val="000000"/>
          <w:sz w:val="24"/>
          <w:szCs w:val="24"/>
          <w:lang w:eastAsia="en-GB"/>
        </w:rPr>
        <w:t>S.26.</w:t>
      </w:r>
      <w:r w:rsidRPr="00D54E06">
        <w:rPr>
          <w:rFonts w:ascii="inherit" w:eastAsia="Times New Roman" w:hAnsi="inherit" w:cs="Times New Roman"/>
          <w:color w:val="000000"/>
          <w:sz w:val="24"/>
          <w:szCs w:val="24"/>
          <w:lang w:eastAsia="en-GB"/>
        </w:rPr>
        <w:t xml:space="preserve">13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277872D4" w14:textId="0C1C6F59"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(p) </w:t>
      </w:r>
      <w:proofErr w:type="gramStart"/>
      <w:r w:rsidRPr="00D54E06">
        <w:rPr>
          <w:rFonts w:ascii="inherit" w:eastAsia="Times New Roman" w:hAnsi="inherit" w:cs="Times New Roman"/>
          <w:color w:val="000000"/>
          <w:sz w:val="24"/>
          <w:szCs w:val="24"/>
          <w:lang w:eastAsia="en-GB"/>
        </w:rPr>
        <w:t>template</w:t>
      </w:r>
      <w:proofErr w:type="gramEnd"/>
      <w:r w:rsidRPr="00D54E06">
        <w:rPr>
          <w:rFonts w:ascii="inherit" w:eastAsia="Times New Roman" w:hAnsi="inherit" w:cs="Times New Roman"/>
          <w:color w:val="000000"/>
          <w:sz w:val="24"/>
          <w:szCs w:val="24"/>
          <w:lang w:eastAsia="en-GB"/>
        </w:rPr>
        <w:t xml:space="preserve"> S.26.14.04 of Annex I, </w:t>
      </w:r>
      <w:r w:rsidRPr="00F40A4B">
        <w:rPr>
          <w:rFonts w:ascii="inherit" w:eastAsia="Times New Roman" w:hAnsi="inherit" w:cs="Times New Roman"/>
          <w:color w:val="000000"/>
          <w:sz w:val="24"/>
          <w:szCs w:val="24"/>
          <w:lang w:eastAsia="en-GB"/>
        </w:rPr>
        <w:t>specifying information on internal model life and health underwriting risk</w:t>
      </w:r>
      <w:r w:rsidRPr="00D54E06">
        <w:rPr>
          <w:rFonts w:ascii="inherit" w:eastAsia="Times New Roman" w:hAnsi="inherit" w:cs="Times New Roman"/>
          <w:color w:val="000000"/>
          <w:sz w:val="24"/>
          <w:szCs w:val="24"/>
          <w:lang w:eastAsia="en-GB"/>
        </w:rPr>
        <w:t>, following the instructions set out in section S.26</w:t>
      </w:r>
      <w:r w:rsidRPr="008004A3">
        <w:rPr>
          <w:rFonts w:ascii="inherit" w:eastAsia="Times New Roman" w:hAnsi="inherit" w:cs="Times New Roman"/>
          <w:color w:val="000000"/>
          <w:sz w:val="24"/>
          <w:szCs w:val="24"/>
          <w:lang w:eastAsia="en-GB"/>
        </w:rPr>
        <w:t>.</w:t>
      </w:r>
      <w:r w:rsidRPr="00D54E06">
        <w:rPr>
          <w:rFonts w:ascii="inherit" w:eastAsia="Times New Roman" w:hAnsi="inherit" w:cs="Times New Roman"/>
          <w:color w:val="000000"/>
          <w:sz w:val="24"/>
          <w:szCs w:val="24"/>
          <w:lang w:eastAsia="en-GB"/>
        </w:rPr>
        <w:t xml:space="preserve">14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39E864C0" w14:textId="4640A0B2"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(q) </w:t>
      </w:r>
      <w:proofErr w:type="gramStart"/>
      <w:r w:rsidRPr="00D54E06">
        <w:rPr>
          <w:rFonts w:ascii="inherit" w:eastAsia="Times New Roman" w:hAnsi="inherit" w:cs="Times New Roman"/>
          <w:color w:val="000000"/>
          <w:sz w:val="24"/>
          <w:szCs w:val="24"/>
          <w:lang w:eastAsia="en-GB"/>
        </w:rPr>
        <w:t>template</w:t>
      </w:r>
      <w:proofErr w:type="gramEnd"/>
      <w:r w:rsidRPr="00D54E06">
        <w:rPr>
          <w:rFonts w:ascii="inherit" w:eastAsia="Times New Roman" w:hAnsi="inherit" w:cs="Times New Roman"/>
          <w:color w:val="000000"/>
          <w:sz w:val="24"/>
          <w:szCs w:val="24"/>
          <w:lang w:eastAsia="en-GB"/>
        </w:rPr>
        <w:t xml:space="preserve"> S.26.15.04 of Annex I, </w:t>
      </w:r>
      <w:r w:rsidRPr="00B34668">
        <w:rPr>
          <w:rFonts w:ascii="inherit" w:eastAsia="Times New Roman" w:hAnsi="inherit" w:cs="Times New Roman"/>
          <w:color w:val="000000"/>
          <w:sz w:val="24"/>
          <w:szCs w:val="24"/>
          <w:lang w:eastAsia="en-GB"/>
        </w:rPr>
        <w:t>specifying information on internal model</w:t>
      </w:r>
      <w:r>
        <w:rPr>
          <w:rFonts w:ascii="inherit" w:eastAsia="Times New Roman" w:hAnsi="inherit" w:cs="Times New Roman"/>
          <w:color w:val="000000"/>
          <w:sz w:val="24"/>
          <w:szCs w:val="24"/>
          <w:lang w:eastAsia="en-GB"/>
        </w:rPr>
        <w:t xml:space="preserve"> </w:t>
      </w:r>
      <w:r w:rsidRPr="00B34668">
        <w:rPr>
          <w:rFonts w:ascii="inherit" w:eastAsia="Times New Roman" w:hAnsi="inherit" w:cs="Times New Roman"/>
          <w:color w:val="000000"/>
          <w:sz w:val="24"/>
          <w:szCs w:val="24"/>
          <w:lang w:eastAsia="en-GB"/>
        </w:rPr>
        <w:t>operational risk</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S.26.</w:t>
      </w:r>
      <w:r w:rsidRPr="00D54E06">
        <w:rPr>
          <w:rFonts w:ascii="inherit" w:eastAsia="Times New Roman" w:hAnsi="inherit" w:cs="Times New Roman"/>
          <w:color w:val="000000"/>
          <w:sz w:val="24"/>
          <w:szCs w:val="24"/>
          <w:lang w:eastAsia="en-GB"/>
        </w:rPr>
        <w:t xml:space="preserve">15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38619D70" w14:textId="55DD3711"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(r) </w:t>
      </w:r>
      <w:proofErr w:type="gramStart"/>
      <w:r w:rsidRPr="00D54E06">
        <w:rPr>
          <w:rFonts w:ascii="inherit" w:eastAsia="Times New Roman" w:hAnsi="inherit" w:cs="Times New Roman"/>
          <w:color w:val="000000"/>
          <w:sz w:val="24"/>
          <w:szCs w:val="24"/>
          <w:lang w:eastAsia="en-GB"/>
        </w:rPr>
        <w:t>template</w:t>
      </w:r>
      <w:proofErr w:type="gramEnd"/>
      <w:r w:rsidRPr="00D54E06">
        <w:rPr>
          <w:rFonts w:ascii="inherit" w:eastAsia="Times New Roman" w:hAnsi="inherit" w:cs="Times New Roman"/>
          <w:color w:val="000000"/>
          <w:sz w:val="24"/>
          <w:szCs w:val="24"/>
          <w:lang w:eastAsia="en-GB"/>
        </w:rPr>
        <w:t xml:space="preserve"> S.26.16.04 of Annex I, </w:t>
      </w:r>
      <w:r w:rsidRPr="00B34668">
        <w:rPr>
          <w:rFonts w:ascii="inherit" w:eastAsia="Times New Roman" w:hAnsi="inherit" w:cs="Times New Roman"/>
          <w:color w:val="000000"/>
          <w:sz w:val="24"/>
          <w:szCs w:val="24"/>
          <w:lang w:eastAsia="en-GB"/>
        </w:rPr>
        <w:t>specifying information on internal model changes</w:t>
      </w:r>
      <w:r w:rsidRPr="00D54E06">
        <w:rPr>
          <w:rFonts w:ascii="inherit" w:eastAsia="Times New Roman" w:hAnsi="inherit" w:cs="Times New Roman"/>
          <w:color w:val="000000"/>
          <w:sz w:val="24"/>
          <w:szCs w:val="24"/>
          <w:lang w:eastAsia="en-GB"/>
        </w:rPr>
        <w:t xml:space="preserve">,  following the instructions set out in section </w:t>
      </w:r>
      <w:r w:rsidRPr="008004A3">
        <w:rPr>
          <w:rFonts w:ascii="inherit" w:eastAsia="Times New Roman" w:hAnsi="inherit" w:cs="Times New Roman"/>
          <w:color w:val="000000"/>
          <w:sz w:val="24"/>
          <w:szCs w:val="24"/>
          <w:lang w:eastAsia="en-GB"/>
        </w:rPr>
        <w:t>S.26.</w:t>
      </w:r>
      <w:r w:rsidRPr="00D54E06">
        <w:rPr>
          <w:rFonts w:ascii="inherit" w:eastAsia="Times New Roman" w:hAnsi="inherit" w:cs="Times New Roman"/>
          <w:color w:val="000000"/>
          <w:sz w:val="24"/>
          <w:szCs w:val="24"/>
          <w:lang w:eastAsia="en-GB"/>
        </w:rPr>
        <w:t xml:space="preserve">16 of Annex </w:t>
      </w:r>
      <w:r w:rsidRPr="008004A3">
        <w:rPr>
          <w:rFonts w:ascii="inherit" w:eastAsia="Times New Roman" w:hAnsi="inherit" w:cs="Times New Roman"/>
          <w:color w:val="000000"/>
          <w:sz w:val="24"/>
          <w:szCs w:val="24"/>
          <w:lang w:eastAsia="en-GB"/>
        </w:rPr>
        <w:t>III</w:t>
      </w:r>
      <w:r w:rsidRPr="00D54E06">
        <w:rPr>
          <w:rFonts w:ascii="inherit" w:eastAsia="Times New Roman" w:hAnsi="inherit" w:cs="Times New Roman"/>
          <w:color w:val="000000"/>
          <w:sz w:val="24"/>
          <w:szCs w:val="24"/>
          <w:lang w:eastAsia="en-GB"/>
        </w:rPr>
        <w:t>;</w:t>
      </w:r>
    </w:p>
    <w:p w14:paraId="22967120" w14:textId="69170F24" w:rsidR="00667EDB" w:rsidRPr="000A3A8F" w:rsidRDefault="00667EDB"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Pr>
          <w:rFonts w:ascii="inherit" w:eastAsia="Times New Roman" w:hAnsi="inherit" w:cs="Times New Roman"/>
          <w:color w:val="000000"/>
          <w:sz w:val="24"/>
          <w:szCs w:val="24"/>
          <w:lang w:eastAsia="en-GB"/>
        </w:rPr>
        <w:t>(s)</w:t>
      </w:r>
      <w:r w:rsidRPr="00667EDB">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S.27.01.04 of Annex I, specifying information on non-life catastrophe risk, following the instructions set out in section S.27.01 of Annex III.</w:t>
      </w:r>
    </w:p>
    <w:p w14:paraId="13D8E6B6"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7D136AF1"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0FDF50A8" w14:textId="1E8D0EAC"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In case of existence of ring-fenced funds or matching adjustment portfolios, the templates referred to in points (</w:t>
      </w:r>
      <w:r w:rsidR="00512A6D">
        <w:rPr>
          <w:rFonts w:ascii="Times New Roman" w:eastAsia="Times New Roman" w:hAnsi="Times New Roman" w:cs="Times New Roman"/>
          <w:color w:val="000000"/>
          <w:sz w:val="24"/>
          <w:szCs w:val="24"/>
          <w:lang w:eastAsia="en-GB"/>
        </w:rPr>
        <w:t>c) to (s</w:t>
      </w:r>
      <w:r w:rsidRPr="000A3A8F">
        <w:rPr>
          <w:rFonts w:ascii="Times New Roman" w:eastAsia="Times New Roman" w:hAnsi="Times New Roman" w:cs="Times New Roman"/>
          <w:color w:val="000000"/>
          <w:sz w:val="24"/>
          <w:szCs w:val="24"/>
          <w:lang w:eastAsia="en-GB"/>
        </w:rPr>
        <w:t xml:space="preserve">) </w:t>
      </w:r>
      <w:r w:rsidR="00762B52">
        <w:rPr>
          <w:rFonts w:ascii="Times New Roman" w:eastAsia="Times New Roman" w:hAnsi="Times New Roman" w:cs="Times New Roman"/>
          <w:color w:val="000000"/>
          <w:sz w:val="24"/>
          <w:szCs w:val="24"/>
          <w:lang w:eastAsia="en-GB"/>
        </w:rPr>
        <w:t>and (</w:t>
      </w:r>
      <w:r w:rsidR="001A66FA">
        <w:rPr>
          <w:rFonts w:ascii="Times New Roman" w:eastAsia="Times New Roman" w:hAnsi="Times New Roman" w:cs="Times New Roman"/>
          <w:color w:val="000000"/>
          <w:sz w:val="24"/>
          <w:szCs w:val="24"/>
          <w:lang w:eastAsia="en-GB"/>
        </w:rPr>
        <w:t>j</w:t>
      </w:r>
      <w:r w:rsidR="00762B52">
        <w:rPr>
          <w:rFonts w:ascii="Times New Roman" w:eastAsia="Times New Roman" w:hAnsi="Times New Roman" w:cs="Times New Roman"/>
          <w:color w:val="000000"/>
          <w:sz w:val="24"/>
          <w:szCs w:val="24"/>
          <w:lang w:eastAsia="en-GB"/>
        </w:rPr>
        <w:t>) to (</w:t>
      </w:r>
      <w:r w:rsidR="001A66FA">
        <w:rPr>
          <w:rFonts w:ascii="Times New Roman" w:eastAsia="Times New Roman" w:hAnsi="Times New Roman" w:cs="Times New Roman"/>
          <w:color w:val="000000"/>
          <w:sz w:val="24"/>
          <w:szCs w:val="24"/>
          <w:lang w:eastAsia="en-GB"/>
        </w:rPr>
        <w:t>r</w:t>
      </w:r>
      <w:r w:rsidR="00762B52">
        <w:rPr>
          <w:rFonts w:ascii="Times New Roman" w:eastAsia="Times New Roman" w:hAnsi="Times New Roman" w:cs="Times New Roman"/>
          <w:color w:val="000000"/>
          <w:sz w:val="24"/>
          <w:szCs w:val="24"/>
          <w:lang w:eastAsia="en-GB"/>
        </w:rPr>
        <w:t xml:space="preserve">) </w:t>
      </w:r>
      <w:r w:rsidRPr="000A3A8F">
        <w:rPr>
          <w:rFonts w:ascii="Times New Roman" w:eastAsia="Times New Roman" w:hAnsi="Times New Roman" w:cs="Times New Roman"/>
          <w:color w:val="000000"/>
          <w:sz w:val="24"/>
          <w:szCs w:val="24"/>
          <w:lang w:eastAsia="en-GB"/>
        </w:rPr>
        <w:t>of paragraph 1 shall not be reported for the group as a whole.</w:t>
      </w:r>
    </w:p>
    <w:p w14:paraId="052607BD" w14:textId="088BCE75"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3.   Where a partial internal model is used, the templates referred to in points (</w:t>
      </w:r>
      <w:r w:rsidR="00512A6D">
        <w:rPr>
          <w:rFonts w:ascii="Times New Roman" w:eastAsia="Times New Roman" w:hAnsi="Times New Roman" w:cs="Times New Roman"/>
          <w:color w:val="000000"/>
          <w:sz w:val="24"/>
          <w:szCs w:val="24"/>
          <w:lang w:eastAsia="en-GB"/>
        </w:rPr>
        <w:t>c) to (s</w:t>
      </w:r>
      <w:r w:rsidRPr="000A3A8F">
        <w:rPr>
          <w:rFonts w:ascii="Times New Roman" w:eastAsia="Times New Roman" w:hAnsi="Times New Roman" w:cs="Times New Roman"/>
          <w:color w:val="000000"/>
          <w:sz w:val="24"/>
          <w:szCs w:val="24"/>
          <w:lang w:eastAsia="en-GB"/>
        </w:rPr>
        <w:t>) of paragraph 1 shall only be reported in relation to the risks covered by the standard formula</w:t>
      </w:r>
      <w:r w:rsidR="00762B52">
        <w:rPr>
          <w:rFonts w:ascii="Times New Roman" w:eastAsia="Times New Roman" w:hAnsi="Times New Roman" w:cs="Times New Roman"/>
          <w:color w:val="000000"/>
          <w:sz w:val="24"/>
          <w:szCs w:val="24"/>
          <w:lang w:eastAsia="en-GB"/>
        </w:rPr>
        <w:t xml:space="preserve"> and templates referred to in points (</w:t>
      </w:r>
      <w:r w:rsidR="001A66FA">
        <w:rPr>
          <w:rFonts w:ascii="Times New Roman" w:eastAsia="Times New Roman" w:hAnsi="Times New Roman" w:cs="Times New Roman"/>
          <w:color w:val="000000"/>
          <w:sz w:val="24"/>
          <w:szCs w:val="24"/>
          <w:lang w:eastAsia="en-GB"/>
        </w:rPr>
        <w:t>j</w:t>
      </w:r>
      <w:r w:rsidR="00762B52">
        <w:rPr>
          <w:rFonts w:ascii="Times New Roman" w:eastAsia="Times New Roman" w:hAnsi="Times New Roman" w:cs="Times New Roman"/>
          <w:color w:val="000000"/>
          <w:sz w:val="24"/>
          <w:szCs w:val="24"/>
          <w:lang w:eastAsia="en-GB"/>
        </w:rPr>
        <w:t>) to (</w:t>
      </w:r>
      <w:r w:rsidR="001A66FA">
        <w:rPr>
          <w:rFonts w:ascii="Times New Roman" w:eastAsia="Times New Roman" w:hAnsi="Times New Roman" w:cs="Times New Roman"/>
          <w:color w:val="000000"/>
          <w:sz w:val="24"/>
          <w:szCs w:val="24"/>
          <w:lang w:eastAsia="en-GB"/>
        </w:rPr>
        <w:t>r</w:t>
      </w:r>
      <w:r w:rsidR="00762B52">
        <w:rPr>
          <w:rFonts w:ascii="Times New Roman" w:eastAsia="Times New Roman" w:hAnsi="Times New Roman" w:cs="Times New Roman"/>
          <w:color w:val="000000"/>
          <w:sz w:val="24"/>
          <w:szCs w:val="24"/>
          <w:lang w:eastAsia="en-GB"/>
        </w:rPr>
        <w:t>) of paragraph 1 shall only be reported to the risks covered by the internal model</w:t>
      </w:r>
      <w:r w:rsidRPr="00316B70">
        <w:rPr>
          <w:rFonts w:ascii="Times New Roman" w:eastAsia="Times New Roman" w:hAnsi="Times New Roman" w:cs="Times New Roman"/>
          <w:color w:val="000000"/>
          <w:sz w:val="24"/>
          <w:szCs w:val="24"/>
          <w:lang w:eastAsia="en-GB"/>
        </w:rPr>
        <w:t>.</w:t>
      </w:r>
    </w:p>
    <w:p w14:paraId="1F0394CF" w14:textId="5E8044C2"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4.   Where a full internal model is used, the templates referred to in </w:t>
      </w:r>
      <w:r w:rsidR="00512A6D">
        <w:rPr>
          <w:rFonts w:ascii="Times New Roman" w:eastAsia="Times New Roman" w:hAnsi="Times New Roman" w:cs="Times New Roman"/>
          <w:color w:val="000000"/>
          <w:sz w:val="24"/>
          <w:szCs w:val="24"/>
          <w:lang w:eastAsia="en-GB"/>
        </w:rPr>
        <w:t>points (c) to (s</w:t>
      </w:r>
      <w:r w:rsidRPr="00512A6D">
        <w:rPr>
          <w:rFonts w:ascii="Times New Roman" w:eastAsia="Times New Roman" w:hAnsi="Times New Roman" w:cs="Times New Roman"/>
          <w:color w:val="000000"/>
          <w:sz w:val="24"/>
          <w:szCs w:val="24"/>
          <w:lang w:eastAsia="en-GB"/>
        </w:rPr>
        <w:t>) of paragraph 1 shall not be reported</w:t>
      </w:r>
      <w:r w:rsidR="00762B52" w:rsidRPr="00512A6D">
        <w:rPr>
          <w:rFonts w:ascii="Times New Roman" w:eastAsia="Times New Roman" w:hAnsi="Times New Roman" w:cs="Times New Roman"/>
          <w:color w:val="000000"/>
          <w:sz w:val="24"/>
          <w:szCs w:val="24"/>
          <w:lang w:eastAsia="en-GB"/>
        </w:rPr>
        <w:t xml:space="preserve"> and templates referred to in points (</w:t>
      </w:r>
      <w:r w:rsidR="001A66FA" w:rsidRPr="00512A6D">
        <w:rPr>
          <w:rFonts w:ascii="Times New Roman" w:eastAsia="Times New Roman" w:hAnsi="Times New Roman" w:cs="Times New Roman"/>
          <w:color w:val="000000"/>
          <w:sz w:val="24"/>
          <w:szCs w:val="24"/>
          <w:lang w:eastAsia="en-GB"/>
        </w:rPr>
        <w:t>j</w:t>
      </w:r>
      <w:r w:rsidR="00762B52" w:rsidRPr="00512A6D">
        <w:rPr>
          <w:rFonts w:ascii="Times New Roman" w:eastAsia="Times New Roman" w:hAnsi="Times New Roman" w:cs="Times New Roman"/>
          <w:color w:val="000000"/>
          <w:sz w:val="24"/>
          <w:szCs w:val="24"/>
          <w:lang w:eastAsia="en-GB"/>
        </w:rPr>
        <w:t>) to (</w:t>
      </w:r>
      <w:r w:rsidR="001A66FA" w:rsidRPr="00512A6D">
        <w:rPr>
          <w:rFonts w:ascii="Times New Roman" w:eastAsia="Times New Roman" w:hAnsi="Times New Roman" w:cs="Times New Roman"/>
          <w:color w:val="000000"/>
          <w:sz w:val="24"/>
          <w:szCs w:val="24"/>
          <w:lang w:eastAsia="en-GB"/>
        </w:rPr>
        <w:t>r</w:t>
      </w:r>
      <w:r w:rsidR="00762B52" w:rsidRPr="00512A6D">
        <w:rPr>
          <w:rFonts w:ascii="Times New Roman" w:eastAsia="Times New Roman" w:hAnsi="Times New Roman" w:cs="Times New Roman"/>
          <w:color w:val="000000"/>
          <w:sz w:val="24"/>
          <w:szCs w:val="24"/>
          <w:lang w:eastAsia="en-GB"/>
        </w:rPr>
        <w:t>) shall be reported</w:t>
      </w:r>
      <w:r w:rsidRPr="000A3A8F">
        <w:rPr>
          <w:rFonts w:ascii="Times New Roman" w:eastAsia="Times New Roman" w:hAnsi="Times New Roman" w:cs="Times New Roman"/>
          <w:color w:val="000000"/>
          <w:sz w:val="24"/>
          <w:szCs w:val="24"/>
          <w:lang w:eastAsia="en-GB"/>
        </w:rPr>
        <w:t>.</w:t>
      </w:r>
    </w:p>
    <w:p w14:paraId="6770970C" w14:textId="5BEFABEE" w:rsidR="000A3A8F" w:rsidRPr="000A3A8F" w:rsidRDefault="00667EDB"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3</w:t>
      </w:r>
      <w:r w:rsidR="00512A6D">
        <w:rPr>
          <w:rFonts w:ascii="Times New Roman" w:eastAsia="Times New Roman" w:hAnsi="Times New Roman" w:cs="Times New Roman"/>
          <w:i/>
          <w:iCs/>
          <w:color w:val="000000"/>
          <w:sz w:val="24"/>
          <w:szCs w:val="24"/>
          <w:lang w:eastAsia="en-GB"/>
        </w:rPr>
        <w:t>0</w:t>
      </w:r>
    </w:p>
    <w:p w14:paraId="655F9CFF"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Reinsurers and special purpose vehicles information</w:t>
      </w:r>
    </w:p>
    <w:p w14:paraId="2016C339"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in conjunction with Article 372(1) of that Delegated Regulation, using the following templates:</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3406C3B" w14:textId="77777777" w:rsidTr="000A3A8F">
        <w:tc>
          <w:tcPr>
            <w:tcW w:w="0" w:type="auto"/>
            <w:shd w:val="clear" w:color="auto" w:fill="FFFFFF"/>
            <w:hideMark/>
          </w:tcPr>
          <w:p w14:paraId="244C1A5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169BD4D3"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S.31.01.04 of Annex I, specifying information on share of reinsurers, following the instructions set out in section S.31.01 of Annex III;</w:t>
            </w:r>
          </w:p>
        </w:tc>
      </w:tr>
    </w:tbl>
    <w:p w14:paraId="0984FB83"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18C07E63" w14:textId="77777777" w:rsidTr="000A3A8F">
        <w:tc>
          <w:tcPr>
            <w:tcW w:w="0" w:type="auto"/>
            <w:shd w:val="clear" w:color="auto" w:fill="FFFFFF"/>
            <w:hideMark/>
          </w:tcPr>
          <w:p w14:paraId="4DB18F9B"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hideMark/>
          </w:tcPr>
          <w:p w14:paraId="2FDEFDEF"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template S.31.02.04 of Annex I, specifying information on special purpose vehicles from the perspective of the insurance or reinsurance undertaking transferring risk to the special purpose vehicles, following the instructions set out in section S.31.02 of Annex III.</w:t>
            </w:r>
          </w:p>
        </w:tc>
      </w:tr>
    </w:tbl>
    <w:p w14:paraId="2BBD5729" w14:textId="47AFE86F"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t>Article 3</w:t>
      </w:r>
      <w:r w:rsidR="00512A6D">
        <w:rPr>
          <w:rFonts w:ascii="Times New Roman" w:eastAsia="Times New Roman" w:hAnsi="Times New Roman" w:cs="Times New Roman"/>
          <w:i/>
          <w:iCs/>
          <w:color w:val="000000"/>
          <w:sz w:val="24"/>
          <w:szCs w:val="24"/>
          <w:lang w:eastAsia="en-GB"/>
        </w:rPr>
        <w:t>1</w:t>
      </w:r>
    </w:p>
    <w:p w14:paraId="19C58668"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Group specific information</w:t>
      </w:r>
    </w:p>
    <w:p w14:paraId="49C1F456" w14:textId="7DF8892A"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submit annually the information referred to in Article 304(1</w:t>
      </w:r>
      <w:proofErr w:type="gramStart"/>
      <w:r w:rsidRPr="000A3A8F">
        <w:rPr>
          <w:rFonts w:ascii="Times New Roman" w:eastAsia="Times New Roman" w:hAnsi="Times New Roman" w:cs="Times New Roman"/>
          <w:color w:val="000000"/>
          <w:sz w:val="24"/>
          <w:szCs w:val="24"/>
          <w:lang w:eastAsia="en-GB"/>
        </w:rPr>
        <w:t>)(</w:t>
      </w:r>
      <w:proofErr w:type="gramEnd"/>
      <w:r w:rsidRPr="000A3A8F">
        <w:rPr>
          <w:rFonts w:ascii="Times New Roman" w:eastAsia="Times New Roman" w:hAnsi="Times New Roman" w:cs="Times New Roman"/>
          <w:color w:val="000000"/>
          <w:sz w:val="24"/>
          <w:szCs w:val="24"/>
          <w:lang w:eastAsia="en-GB"/>
        </w:rPr>
        <w:t>d) of Delegated Regulation (EU) 2015/35, in conjunction with Article 372(1) of that Delegated Regulation using the following templates:</w:t>
      </w:r>
    </w:p>
    <w:p w14:paraId="42B3067F" w14:textId="31A237BB"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lastRenderedPageBreak/>
        <w:t xml:space="preserve">(a)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S.32.01.04 of Annex I, specifying information on the insurance and reinsurance undertakings in the scope of the group, following the instructions set out in section S.32.01 of Annex III</w:t>
      </w:r>
      <w:r>
        <w:rPr>
          <w:rFonts w:ascii="inherit" w:eastAsia="Times New Roman" w:hAnsi="inherit" w:cs="Times New Roman"/>
          <w:color w:val="000000"/>
          <w:sz w:val="24"/>
          <w:szCs w:val="24"/>
          <w:lang w:eastAsia="en-GB"/>
        </w:rPr>
        <w:t>;</w:t>
      </w:r>
    </w:p>
    <w:p w14:paraId="3740C066" w14:textId="138F7D57"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 xml:space="preserve">(b)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S.33.01.04 of Annex I, specifying information on requirements of insurance and reinsurance undertakings in the scope of the group, following the instructions set out in section S.33.01 of Annex III</w:t>
      </w:r>
      <w:r>
        <w:rPr>
          <w:rFonts w:ascii="inherit" w:eastAsia="Times New Roman" w:hAnsi="inherit" w:cs="Times New Roman"/>
          <w:color w:val="000000"/>
          <w:sz w:val="24"/>
          <w:szCs w:val="24"/>
          <w:lang w:eastAsia="en-GB"/>
        </w:rPr>
        <w:t>;</w:t>
      </w:r>
    </w:p>
    <w:p w14:paraId="02C81F1E" w14:textId="3F576EF2"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(c) </w:t>
      </w:r>
      <w:r w:rsidRPr="000A3A8F">
        <w:rPr>
          <w:rFonts w:ascii="inherit" w:eastAsia="Times New Roman" w:hAnsi="inherit" w:cs="Times New Roman"/>
          <w:color w:val="000000"/>
          <w:sz w:val="24"/>
          <w:szCs w:val="24"/>
          <w:lang w:eastAsia="en-GB"/>
        </w:rPr>
        <w:t>template S.34.01.04 of Annex I, specifying information on financial undertakings other than insurance and reinsurance undertakings, and on non-regulated undertakings carrying out financial activities as defined in Article 1(52) of Delegated Regulation (EU) 2015/35, following the instructions set out in section S.34.01 of Annex III;</w:t>
      </w:r>
    </w:p>
    <w:p w14:paraId="1847FFAD" w14:textId="4363AE98"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(d)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S.35.01.04 of Annex I, specifying information on technical provisions of undertakings of the group, following the instructions set out in section S.35.01 of Annex III</w:t>
      </w:r>
      <w:r>
        <w:rPr>
          <w:rFonts w:ascii="inherit" w:eastAsia="Times New Roman" w:hAnsi="inherit" w:cs="Times New Roman"/>
          <w:color w:val="000000"/>
          <w:sz w:val="24"/>
          <w:szCs w:val="24"/>
          <w:lang w:eastAsia="en-GB"/>
        </w:rPr>
        <w:t>;</w:t>
      </w:r>
    </w:p>
    <w:p w14:paraId="622DD5EF" w14:textId="6356DE21"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667EDB">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template S.36.01.01 of Annex I, specifying information on significant intra-group-transactions involving equity-type transactions, debt and asset transfer, above the threshold determined by the group supervisor in accordance with Article 245(3) of Directive 2009/138/EC, following the instructions set out in section S.36.01 of Annex III to this Regulation;</w:t>
      </w:r>
    </w:p>
    <w:p w14:paraId="16948B75" w14:textId="324A1B78"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(f) </w:t>
      </w:r>
      <w:r w:rsidRPr="000A3A8F">
        <w:rPr>
          <w:rFonts w:ascii="inherit" w:eastAsia="Times New Roman" w:hAnsi="inherit" w:cs="Times New Roman"/>
          <w:color w:val="000000"/>
          <w:sz w:val="24"/>
          <w:szCs w:val="24"/>
          <w:lang w:eastAsia="en-GB"/>
        </w:rPr>
        <w:t>template S.36.02.01 of Annex I, specifying information on significant intra-group-transactions on derivatives, including the guarantees supporting any derivatives instruments, above the threshold determined by the group supervisor in accordance with Article 245(3) of Directive 2009/138/EC, following the instructions set out in section S.36.02 of Annex III to this Regulation</w:t>
      </w:r>
      <w:r>
        <w:rPr>
          <w:rFonts w:ascii="inherit" w:eastAsia="Times New Roman" w:hAnsi="inherit" w:cs="Times New Roman"/>
          <w:color w:val="000000"/>
          <w:sz w:val="24"/>
          <w:szCs w:val="24"/>
          <w:lang w:eastAsia="en-GB"/>
        </w:rPr>
        <w:t>;</w:t>
      </w:r>
    </w:p>
    <w:p w14:paraId="600CA34F" w14:textId="1616F7CC"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(g) </w:t>
      </w:r>
      <w:r w:rsidRPr="000A3A8F">
        <w:rPr>
          <w:rFonts w:ascii="inherit" w:eastAsia="Times New Roman" w:hAnsi="inherit" w:cs="Times New Roman"/>
          <w:color w:val="000000"/>
          <w:sz w:val="24"/>
          <w:szCs w:val="24"/>
          <w:lang w:eastAsia="en-GB"/>
        </w:rPr>
        <w:t xml:space="preserve">template S.36.03.01 of Annex I, specifying information on significant intra-group-transactions on </w:t>
      </w:r>
      <w:r>
        <w:rPr>
          <w:rFonts w:ascii="inherit" w:eastAsia="Times New Roman" w:hAnsi="inherit" w:cs="Times New Roman"/>
          <w:color w:val="000000"/>
          <w:sz w:val="24"/>
          <w:szCs w:val="24"/>
          <w:lang w:eastAsia="en-GB"/>
        </w:rPr>
        <w:t>o</w:t>
      </w:r>
      <w:r w:rsidRPr="00CE37CB">
        <w:rPr>
          <w:rFonts w:ascii="inherit" w:eastAsia="Times New Roman" w:hAnsi="inherit" w:cs="Times New Roman"/>
          <w:color w:val="000000"/>
          <w:sz w:val="24"/>
          <w:szCs w:val="24"/>
          <w:lang w:eastAsia="en-GB"/>
        </w:rPr>
        <w:t>ff-balance sheet and contingent liabilities</w:t>
      </w:r>
      <w:r w:rsidRPr="000A3A8F">
        <w:rPr>
          <w:rFonts w:ascii="inherit" w:eastAsia="Times New Roman" w:hAnsi="inherit" w:cs="Times New Roman"/>
          <w:color w:val="000000"/>
          <w:sz w:val="24"/>
          <w:szCs w:val="24"/>
          <w:lang w:eastAsia="en-GB"/>
        </w:rPr>
        <w:t>, above the threshold determined by the group supervisor in accordance with Article 245(3) of Directive 2009/138/EC, following the instructions set out in section S.36.03 of Annex III to this Regulation</w:t>
      </w:r>
      <w:r>
        <w:rPr>
          <w:rFonts w:ascii="inherit" w:eastAsia="Times New Roman" w:hAnsi="inherit" w:cs="Times New Roman"/>
          <w:color w:val="000000"/>
          <w:sz w:val="24"/>
          <w:szCs w:val="24"/>
          <w:lang w:eastAsia="en-GB"/>
        </w:rPr>
        <w:t>;</w:t>
      </w:r>
    </w:p>
    <w:p w14:paraId="0A2D1C03" w14:textId="53205970"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(h) </w:t>
      </w:r>
      <w:r w:rsidRPr="000A3A8F">
        <w:rPr>
          <w:rFonts w:ascii="inherit" w:eastAsia="Times New Roman" w:hAnsi="inherit" w:cs="Times New Roman"/>
          <w:color w:val="000000"/>
          <w:sz w:val="24"/>
          <w:szCs w:val="24"/>
          <w:lang w:eastAsia="en-GB"/>
        </w:rPr>
        <w:t xml:space="preserve">template S.36.04.01 of Annex I, specifying information on significant intra-group-transactions on </w:t>
      </w:r>
      <w:r>
        <w:rPr>
          <w:rFonts w:ascii="inherit" w:eastAsia="Times New Roman" w:hAnsi="inherit" w:cs="Times New Roman"/>
          <w:color w:val="000000"/>
          <w:sz w:val="24"/>
          <w:szCs w:val="24"/>
          <w:lang w:eastAsia="en-GB"/>
        </w:rPr>
        <w:t>insurance and r</w:t>
      </w:r>
      <w:r w:rsidRPr="00CE37CB">
        <w:rPr>
          <w:rFonts w:ascii="inherit" w:eastAsia="Times New Roman" w:hAnsi="inherit" w:cs="Times New Roman"/>
          <w:color w:val="000000"/>
          <w:sz w:val="24"/>
          <w:szCs w:val="24"/>
          <w:lang w:eastAsia="en-GB"/>
        </w:rPr>
        <w:t>einsurance</w:t>
      </w:r>
      <w:r w:rsidRPr="000A3A8F">
        <w:rPr>
          <w:rFonts w:ascii="inherit" w:eastAsia="Times New Roman" w:hAnsi="inherit" w:cs="Times New Roman"/>
          <w:color w:val="000000"/>
          <w:sz w:val="24"/>
          <w:szCs w:val="24"/>
          <w:lang w:eastAsia="en-GB"/>
        </w:rPr>
        <w:t>, above the threshold determined by the group supervisor in accordance with Article 245(3) of Directive 2009/138/EC, following the instructions set out in section S.36.04 of Annex III to this Regulation</w:t>
      </w:r>
      <w:r>
        <w:rPr>
          <w:rFonts w:ascii="inherit" w:eastAsia="Times New Roman" w:hAnsi="inherit" w:cs="Times New Roman"/>
          <w:color w:val="000000"/>
          <w:sz w:val="24"/>
          <w:szCs w:val="24"/>
          <w:lang w:eastAsia="en-GB"/>
        </w:rPr>
        <w:t>;</w:t>
      </w:r>
    </w:p>
    <w:p w14:paraId="1B13ED7D" w14:textId="4997871A"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t>
      </w: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w:t>
      </w:r>
      <w:proofErr w:type="gramStart"/>
      <w:r>
        <w:rPr>
          <w:rFonts w:ascii="inherit" w:eastAsia="Times New Roman" w:hAnsi="inherit" w:cs="Times New Roman"/>
          <w:color w:val="000000"/>
          <w:sz w:val="24"/>
          <w:szCs w:val="24"/>
          <w:lang w:eastAsia="en-GB"/>
        </w:rPr>
        <w:t>template</w:t>
      </w:r>
      <w:proofErr w:type="gramEnd"/>
      <w:r>
        <w:rPr>
          <w:rFonts w:ascii="inherit" w:eastAsia="Times New Roman" w:hAnsi="inherit" w:cs="Times New Roman"/>
          <w:color w:val="000000"/>
          <w:sz w:val="24"/>
          <w:szCs w:val="24"/>
          <w:lang w:eastAsia="en-GB"/>
        </w:rPr>
        <w:t xml:space="preserve"> S.36.05.01 of Annex I, specifying information on intra-group transactions on profit and loss, following the instructions set out in section S.36.05 of Annex III;</w:t>
      </w:r>
    </w:p>
    <w:p w14:paraId="72D0541E" w14:textId="2706C491" w:rsidR="00667EDB" w:rsidRDefault="00667EDB" w:rsidP="00667ED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(j)</w:t>
      </w:r>
      <w:r w:rsidRPr="00667EDB">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template S.37.01.04 of Annex I, specifying information on significant risk concentrations, above the threshold determined by the group supervisor in accordance with Article 244(3) of Directive 2009/138/EC, following the instructions set out in section S.37.01 of A</w:t>
      </w:r>
      <w:r>
        <w:rPr>
          <w:rFonts w:ascii="inherit" w:eastAsia="Times New Roman" w:hAnsi="inherit" w:cs="Times New Roman"/>
          <w:color w:val="000000"/>
          <w:sz w:val="24"/>
          <w:szCs w:val="24"/>
          <w:lang w:eastAsia="en-GB"/>
        </w:rPr>
        <w:t>nnex III to this Regulation;</w:t>
      </w:r>
    </w:p>
    <w:p w14:paraId="7A595BBF" w14:textId="060373F1" w:rsidR="00667EDB" w:rsidRDefault="00667EDB" w:rsidP="00667ED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(k)</w:t>
      </w:r>
      <w:r w:rsidRPr="00667EDB">
        <w:rPr>
          <w:rFonts w:ascii="inherit" w:eastAsia="Times New Roman" w:hAnsi="inherit" w:cs="Times New Roman"/>
          <w:color w:val="000000"/>
          <w:sz w:val="24"/>
          <w:szCs w:val="24"/>
          <w:lang w:eastAsia="en-GB"/>
        </w:rPr>
        <w:t xml:space="preserve"> </w:t>
      </w:r>
      <w:proofErr w:type="gramStart"/>
      <w:r>
        <w:rPr>
          <w:rFonts w:ascii="inherit" w:eastAsia="Times New Roman" w:hAnsi="inherit" w:cs="Times New Roman"/>
          <w:color w:val="000000"/>
          <w:sz w:val="24"/>
          <w:szCs w:val="24"/>
          <w:lang w:eastAsia="en-GB"/>
        </w:rPr>
        <w:t>template</w:t>
      </w:r>
      <w:proofErr w:type="gramEnd"/>
      <w:r>
        <w:rPr>
          <w:rFonts w:ascii="inherit" w:eastAsia="Times New Roman" w:hAnsi="inherit" w:cs="Times New Roman"/>
          <w:color w:val="000000"/>
          <w:sz w:val="24"/>
          <w:szCs w:val="24"/>
          <w:lang w:eastAsia="en-GB"/>
        </w:rPr>
        <w:t xml:space="preserve"> S.37.02.04 specifying information on risk concentration exposures by currency, sector, country, following the instructions set out in section S.37.02 of Annex III to this Regulation;</w:t>
      </w:r>
    </w:p>
    <w:p w14:paraId="4D838991" w14:textId="6BD47592" w:rsidR="00667EDB" w:rsidRDefault="00667EDB" w:rsidP="00667ED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(l) </w:t>
      </w:r>
      <w:proofErr w:type="gramStart"/>
      <w:r>
        <w:rPr>
          <w:rFonts w:ascii="inherit" w:eastAsia="Times New Roman" w:hAnsi="inherit" w:cs="Times New Roman"/>
          <w:color w:val="000000"/>
          <w:sz w:val="24"/>
          <w:szCs w:val="24"/>
          <w:lang w:eastAsia="en-GB"/>
        </w:rPr>
        <w:t>template</w:t>
      </w:r>
      <w:proofErr w:type="gramEnd"/>
      <w:r>
        <w:rPr>
          <w:rFonts w:ascii="inherit" w:eastAsia="Times New Roman" w:hAnsi="inherit" w:cs="Times New Roman"/>
          <w:color w:val="000000"/>
          <w:sz w:val="24"/>
          <w:szCs w:val="24"/>
          <w:lang w:eastAsia="en-GB"/>
        </w:rPr>
        <w:t xml:space="preserve"> S.37.03.04 specifying information on risk concentration exposure by asset class and rating, following the instructions set out in section S.37.03 of Annex III to this Regulation.</w:t>
      </w:r>
    </w:p>
    <w:p w14:paraId="28E57232"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36FEE0F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29F2E608"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4513"/>
        <w:gridCol w:w="4513"/>
      </w:tblGrid>
      <w:tr w:rsidR="000A3A8F" w:rsidRPr="000A3A8F" w14:paraId="46C21B6D" w14:textId="77777777" w:rsidTr="00667EDB">
        <w:tc>
          <w:tcPr>
            <w:tcW w:w="0" w:type="auto"/>
            <w:shd w:val="clear" w:color="auto" w:fill="FFFFFF"/>
          </w:tcPr>
          <w:p w14:paraId="666F8DB5" w14:textId="74570835"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p>
        </w:tc>
        <w:tc>
          <w:tcPr>
            <w:tcW w:w="0" w:type="auto"/>
            <w:shd w:val="clear" w:color="auto" w:fill="FFFFFF"/>
          </w:tcPr>
          <w:p w14:paraId="48CEF60D" w14:textId="6C6EDE67" w:rsidR="00AE6527" w:rsidRPr="000A3A8F" w:rsidRDefault="00AE6527" w:rsidP="00667EDB">
            <w:pPr>
              <w:spacing w:before="120" w:after="0" w:line="240" w:lineRule="auto"/>
              <w:jc w:val="both"/>
              <w:rPr>
                <w:rFonts w:ascii="inherit" w:eastAsia="Times New Roman" w:hAnsi="inherit" w:cs="Times New Roman"/>
                <w:color w:val="000000"/>
                <w:sz w:val="24"/>
                <w:szCs w:val="24"/>
                <w:lang w:eastAsia="en-GB"/>
              </w:rPr>
            </w:pPr>
          </w:p>
        </w:tc>
      </w:tr>
    </w:tbl>
    <w:p w14:paraId="1FA3021C" w14:textId="0BFA827C" w:rsidR="000A3A8F" w:rsidRPr="000A3A8F" w:rsidRDefault="00512A6D"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32</w:t>
      </w:r>
    </w:p>
    <w:p w14:paraId="4B94BA06"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Annual quantitative templates for groups — ring-fenced funds, material matching adjustment portfolios and remaining part information</w:t>
      </w:r>
    </w:p>
    <w:p w14:paraId="23B14775" w14:textId="004DB26B"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1.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 shall submit annually the information referred to in Article 304(1)(d) of Delegated Regulation (EU) 2015/35, in conjunction with Article 372(1) of that Delegated Regulation, using the following templates in relation to all material ring-fenced funds and all material matching adjustment portfolios related to the part that is consolidated as referred to in points (a) and (c) of Article 335(1) of Delegated Regulation (EU) 2015/35, as well as in relation to the remaining part:</w:t>
      </w:r>
    </w:p>
    <w:p w14:paraId="3FC25EEE" w14:textId="33B3917B"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Times New Roman" w:eastAsia="Times New Roman" w:hAnsi="Times New Roman" w:cs="Times New Roman"/>
          <w:color w:val="000000"/>
          <w:sz w:val="24"/>
          <w:szCs w:val="24"/>
          <w:lang w:eastAsia="en-GB"/>
        </w:rPr>
        <w:t>(a)</w:t>
      </w:r>
      <w:r w:rsidRPr="00667EDB">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SR.01.01.04 of Annex I, specifying the content of the submission, following the instructions set out in section S.01.01 of Annex III</w:t>
      </w:r>
      <w:r>
        <w:rPr>
          <w:rFonts w:ascii="inherit" w:eastAsia="Times New Roman" w:hAnsi="inherit" w:cs="Times New Roman"/>
          <w:color w:val="000000"/>
          <w:sz w:val="24"/>
          <w:szCs w:val="24"/>
          <w:lang w:eastAsia="en-GB"/>
        </w:rPr>
        <w:t>;</w:t>
      </w:r>
    </w:p>
    <w:p w14:paraId="0AE0F12E" w14:textId="249BD30B"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(b) </w:t>
      </w:r>
      <w:r w:rsidRPr="000A3A8F">
        <w:rPr>
          <w:rFonts w:ascii="inherit" w:eastAsia="Times New Roman" w:hAnsi="inherit" w:cs="Times New Roman"/>
          <w:color w:val="000000"/>
          <w:sz w:val="24"/>
          <w:szCs w:val="24"/>
          <w:lang w:eastAsia="en-GB"/>
        </w:rPr>
        <w:t>where the group uses the standard formula for the calculation of the Solvency Capital Requirement, template SR.25.01.01 of Annex I, specifying the Solvency Capital Requirement, following the instructions set out in section S.25.01 of Annex III;</w:t>
      </w:r>
    </w:p>
    <w:p w14:paraId="08FC1C6C" w14:textId="6ABAAA1E"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(c)</w:t>
      </w:r>
      <w:r w:rsidRPr="00667EDB">
        <w:rPr>
          <w:rFonts w:ascii="inherit" w:eastAsia="Times New Roman" w:hAnsi="inherit" w:cs="Times New Roman"/>
          <w:color w:val="000000"/>
          <w:sz w:val="24"/>
          <w:szCs w:val="24"/>
          <w:lang w:eastAsia="en-GB"/>
        </w:rPr>
        <w:t xml:space="preserve"> </w:t>
      </w:r>
      <w:r w:rsidRPr="000A3A8F">
        <w:rPr>
          <w:rFonts w:ascii="inherit" w:eastAsia="Times New Roman" w:hAnsi="inherit" w:cs="Times New Roman"/>
          <w:color w:val="000000"/>
          <w:sz w:val="24"/>
          <w:szCs w:val="24"/>
          <w:lang w:eastAsia="en-GB"/>
        </w:rPr>
        <w:t xml:space="preserve">where the group uses a partial internal model </w:t>
      </w:r>
      <w:r>
        <w:rPr>
          <w:rFonts w:ascii="inherit" w:eastAsia="Times New Roman" w:hAnsi="inherit" w:cs="Times New Roman"/>
          <w:color w:val="000000"/>
          <w:sz w:val="24"/>
          <w:szCs w:val="24"/>
          <w:lang w:eastAsia="en-GB"/>
        </w:rPr>
        <w:t xml:space="preserve">or a full internal model </w:t>
      </w:r>
      <w:r w:rsidRPr="000A3A8F">
        <w:rPr>
          <w:rFonts w:ascii="inherit" w:eastAsia="Times New Roman" w:hAnsi="inherit" w:cs="Times New Roman"/>
          <w:color w:val="000000"/>
          <w:sz w:val="24"/>
          <w:szCs w:val="24"/>
          <w:lang w:eastAsia="en-GB"/>
        </w:rPr>
        <w:t>for the calculation of the Solvency Capital Requirement, template SR.25.0</w:t>
      </w:r>
      <w:r>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.01 of Annex I, specifying the Solvency Capital Requirement, following the instructions set out in section S.25.0</w:t>
      </w:r>
      <w:r>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III;</w:t>
      </w:r>
    </w:p>
    <w:p w14:paraId="161D42FA" w14:textId="76975DBC"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(d)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SR.26.01.01 of Annex I, specifying information on market risk, following the instructions set out in section S.26.01 of Annex III</w:t>
      </w:r>
      <w:r>
        <w:rPr>
          <w:rFonts w:ascii="inherit" w:eastAsia="Times New Roman" w:hAnsi="inherit" w:cs="Times New Roman"/>
          <w:color w:val="000000"/>
          <w:sz w:val="24"/>
          <w:szCs w:val="24"/>
          <w:lang w:eastAsia="en-GB"/>
        </w:rPr>
        <w:t>;</w:t>
      </w:r>
    </w:p>
    <w:p w14:paraId="27F3DAC0" w14:textId="3156AA14"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(e)</w:t>
      </w:r>
      <w:r w:rsidRPr="00667EDB">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SR.26.02.01 of Annex I, specifying information on counterparty default risk, following the instructions set out in section S.26.02 of Annex III;</w:t>
      </w:r>
    </w:p>
    <w:p w14:paraId="64C79243" w14:textId="258A4280"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(f)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SR.26.03.01 of Annex I, specifying information on life underwriting risk, following the instructions set out in section S.26.03 of Annex III</w:t>
      </w:r>
      <w:r>
        <w:rPr>
          <w:rFonts w:ascii="inherit" w:eastAsia="Times New Roman" w:hAnsi="inherit" w:cs="Times New Roman"/>
          <w:color w:val="000000"/>
          <w:sz w:val="24"/>
          <w:szCs w:val="24"/>
          <w:lang w:eastAsia="en-GB"/>
        </w:rPr>
        <w:t>;</w:t>
      </w:r>
    </w:p>
    <w:p w14:paraId="4425EEC8" w14:textId="60F87C43"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(g)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SR.26.04.01 of Annex I, specifying information on health underwriting risk, following the instructions set out in section S.26.04 of Annex III</w:t>
      </w:r>
      <w:r>
        <w:rPr>
          <w:rFonts w:ascii="inherit" w:eastAsia="Times New Roman" w:hAnsi="inherit" w:cs="Times New Roman"/>
          <w:color w:val="000000"/>
          <w:sz w:val="24"/>
          <w:szCs w:val="24"/>
          <w:lang w:eastAsia="en-GB"/>
        </w:rPr>
        <w:t>;</w:t>
      </w:r>
    </w:p>
    <w:p w14:paraId="37C40E9A" w14:textId="20E408BF"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(h)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SR.26.05.01 of Annex I, specifying information on non-life underwriting risk, following the instructions set out in section S.26.05 of Annex III</w:t>
      </w:r>
      <w:r>
        <w:rPr>
          <w:rFonts w:ascii="inherit" w:eastAsia="Times New Roman" w:hAnsi="inherit" w:cs="Times New Roman"/>
          <w:color w:val="000000"/>
          <w:sz w:val="24"/>
          <w:szCs w:val="24"/>
          <w:lang w:eastAsia="en-GB"/>
        </w:rPr>
        <w:t>;</w:t>
      </w:r>
    </w:p>
    <w:p w14:paraId="6730432D" w14:textId="2B5A6DC1" w:rsidR="00667EDB" w:rsidRDefault="00667EDB"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w:t>
      </w:r>
      <w:proofErr w:type="spellStart"/>
      <w:r>
        <w:rPr>
          <w:rFonts w:ascii="inherit" w:eastAsia="Times New Roman" w:hAnsi="inherit" w:cs="Times New Roman"/>
          <w:color w:val="000000"/>
          <w:sz w:val="24"/>
          <w:szCs w:val="24"/>
          <w:lang w:eastAsia="en-GB"/>
        </w:rPr>
        <w:t>i</w:t>
      </w:r>
      <w:proofErr w:type="spellEnd"/>
      <w:r>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SR.26.06.01 of Annex I, specifying information on operational risk following, the instructions set out in section S.26.06 of Annex III</w:t>
      </w:r>
      <w:r>
        <w:rPr>
          <w:rFonts w:ascii="inherit" w:eastAsia="Times New Roman" w:hAnsi="inherit" w:cs="Times New Roman"/>
          <w:color w:val="000000"/>
          <w:sz w:val="24"/>
          <w:szCs w:val="24"/>
          <w:lang w:eastAsia="en-GB"/>
        </w:rPr>
        <w:t>;</w:t>
      </w:r>
    </w:p>
    <w:p w14:paraId="2A25E8C0" w14:textId="0BD43EBF" w:rsidR="00667EDB" w:rsidRDefault="00667EDB" w:rsidP="00667ED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 xml:space="preserve">(j)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SR.26.07.01 of Annex I, specifying information on the simplifications used in the calculation of the Solvency Capital Requirement, following the instructions set out in section S.26.07 of Annex III;</w:t>
      </w:r>
    </w:p>
    <w:p w14:paraId="6877E60C" w14:textId="2EFBE0C1" w:rsidR="00667EDB" w:rsidRDefault="00667EDB" w:rsidP="00667ED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lastRenderedPageBreak/>
        <w:t>(k)  SR</w:t>
      </w:r>
      <w:r w:rsidRPr="000A3A8F">
        <w:rPr>
          <w:rFonts w:ascii="inherit" w:eastAsia="Times New Roman" w:hAnsi="inherit" w:cs="Times New Roman"/>
          <w:color w:val="000000"/>
          <w:sz w:val="24"/>
          <w:szCs w:val="24"/>
          <w:lang w:eastAsia="en-GB"/>
        </w:rPr>
        <w:t>.</w:t>
      </w:r>
      <w:r>
        <w:rPr>
          <w:rFonts w:ascii="inherit" w:eastAsia="Times New Roman" w:hAnsi="inherit" w:cs="Times New Roman"/>
          <w:color w:val="000000"/>
          <w:sz w:val="24"/>
          <w:szCs w:val="24"/>
          <w:lang w:eastAsia="en-GB"/>
        </w:rPr>
        <w:t>26.08</w:t>
      </w:r>
      <w:r w:rsidRPr="00C10CCD">
        <w:rPr>
          <w:rFonts w:ascii="inherit" w:eastAsia="Times New Roman" w:hAnsi="inherit" w:cs="Times New Roman"/>
          <w:color w:val="000000"/>
          <w:sz w:val="24"/>
          <w:szCs w:val="24"/>
          <w:lang w:eastAsia="en-GB"/>
        </w:rPr>
        <w:t xml:space="preserve">.01 of Annex I, </w:t>
      </w:r>
      <w:r w:rsidRPr="000A3A8F">
        <w:rPr>
          <w:rFonts w:ascii="inherit" w:eastAsia="Times New Roman" w:hAnsi="inherit" w:cs="Times New Roman"/>
          <w:color w:val="000000"/>
          <w:sz w:val="24"/>
          <w:szCs w:val="24"/>
          <w:lang w:eastAsia="en-GB"/>
        </w:rPr>
        <w:t xml:space="preserve">specifying </w:t>
      </w:r>
      <w:r>
        <w:rPr>
          <w:rFonts w:ascii="inherit" w:eastAsia="Times New Roman" w:hAnsi="inherit" w:cs="Times New Roman"/>
          <w:color w:val="000000"/>
          <w:sz w:val="24"/>
          <w:szCs w:val="24"/>
          <w:lang w:eastAsia="en-GB"/>
        </w:rPr>
        <w:t xml:space="preserve">further </w:t>
      </w:r>
      <w:r w:rsidRPr="000A3A8F">
        <w:rPr>
          <w:rFonts w:ascii="inherit" w:eastAsia="Times New Roman" w:hAnsi="inherit" w:cs="Times New Roman"/>
          <w:color w:val="000000"/>
          <w:sz w:val="24"/>
          <w:szCs w:val="24"/>
          <w:lang w:eastAsia="en-GB"/>
        </w:rPr>
        <w:t>information on</w:t>
      </w:r>
      <w:r>
        <w:rPr>
          <w:rFonts w:ascii="inherit" w:eastAsia="Times New Roman" w:hAnsi="inherit" w:cs="Times New Roman"/>
          <w:color w:val="000000"/>
          <w:sz w:val="24"/>
          <w:szCs w:val="24"/>
          <w:lang w:eastAsia="en-GB"/>
        </w:rPr>
        <w:t xml:space="preserve"> the internal model used for the </w:t>
      </w:r>
      <w:r w:rsidRPr="002B3B20">
        <w:rPr>
          <w:rFonts w:ascii="inherit" w:eastAsia="Times New Roman" w:hAnsi="inherit" w:cs="Times New Roman"/>
          <w:color w:val="000000"/>
          <w:sz w:val="24"/>
          <w:szCs w:val="24"/>
          <w:lang w:eastAsia="en-GB"/>
        </w:rPr>
        <w:t>Solvency Capital Requirement</w:t>
      </w:r>
      <w:r>
        <w:rPr>
          <w:rFonts w:ascii="inherit" w:eastAsia="Times New Roman" w:hAnsi="inherit" w:cs="Times New Roman"/>
          <w:color w:val="000000"/>
          <w:sz w:val="24"/>
          <w:szCs w:val="24"/>
          <w:lang w:eastAsia="en-GB"/>
        </w:rPr>
        <w:t>,</w:t>
      </w:r>
      <w:r w:rsidRPr="002B3B20">
        <w:rPr>
          <w:rFonts w:ascii="inherit" w:eastAsia="Times New Roman" w:hAnsi="inherit" w:cs="Times New Roman"/>
          <w:color w:val="000000"/>
          <w:sz w:val="24"/>
          <w:szCs w:val="24"/>
          <w:lang w:eastAsia="en-GB"/>
        </w:rPr>
        <w:t xml:space="preserve"> for undertakings using </w:t>
      </w:r>
      <w:r w:rsidRPr="000A3A8F">
        <w:rPr>
          <w:rFonts w:ascii="inherit" w:eastAsia="Times New Roman" w:hAnsi="inherit" w:cs="Times New Roman"/>
          <w:color w:val="000000"/>
          <w:sz w:val="24"/>
          <w:szCs w:val="24"/>
          <w:lang w:eastAsia="en-GB"/>
        </w:rPr>
        <w:t xml:space="preserve">a partial internal </w:t>
      </w:r>
      <w:r w:rsidRPr="00D54E06">
        <w:rPr>
          <w:rFonts w:ascii="inherit" w:eastAsia="Times New Roman" w:hAnsi="inherit" w:cs="Times New Roman"/>
          <w:color w:val="000000"/>
          <w:sz w:val="24"/>
          <w:szCs w:val="24"/>
          <w:lang w:eastAsia="en-GB"/>
        </w:rPr>
        <w:t xml:space="preserve">model or a full internal model, following the instructions set out in section </w:t>
      </w:r>
      <w:r w:rsidRPr="008004A3">
        <w:rPr>
          <w:rFonts w:ascii="inherit" w:eastAsia="Times New Roman" w:hAnsi="inherit" w:cs="Times New Roman"/>
          <w:color w:val="000000"/>
          <w:sz w:val="24"/>
          <w:szCs w:val="24"/>
          <w:lang w:eastAsia="en-GB"/>
        </w:rPr>
        <w:t>S.26.0</w:t>
      </w:r>
      <w:r w:rsidRPr="00D54E06">
        <w:rPr>
          <w:rFonts w:ascii="inherit" w:eastAsia="Times New Roman" w:hAnsi="inherit" w:cs="Times New Roman"/>
          <w:color w:val="000000"/>
          <w:sz w:val="24"/>
          <w:szCs w:val="24"/>
          <w:lang w:eastAsia="en-GB"/>
        </w:rPr>
        <w:t>8 of Annex III</w:t>
      </w:r>
      <w:r>
        <w:rPr>
          <w:rFonts w:ascii="inherit" w:eastAsia="Times New Roman" w:hAnsi="inherit" w:cs="Times New Roman"/>
          <w:color w:val="000000"/>
          <w:sz w:val="24"/>
          <w:szCs w:val="24"/>
          <w:lang w:eastAsia="en-GB"/>
        </w:rPr>
        <w:t>;</w:t>
      </w:r>
    </w:p>
    <w:p w14:paraId="0FEA05D0" w14:textId="64B295D5" w:rsidR="00667EDB" w:rsidRDefault="00667EDB" w:rsidP="00667EDB">
      <w:pPr>
        <w:spacing w:before="120" w:after="0" w:line="240" w:lineRule="auto"/>
        <w:jc w:val="both"/>
        <w:rPr>
          <w:rFonts w:ascii="inherit" w:eastAsia="Times New Roman" w:hAnsi="inherit" w:cs="Times New Roman"/>
          <w:color w:val="000000"/>
          <w:sz w:val="24"/>
          <w:szCs w:val="24"/>
          <w:lang w:eastAsia="en-GB"/>
        </w:rPr>
      </w:pPr>
      <w:r>
        <w:rPr>
          <w:rFonts w:ascii="inherit" w:eastAsia="Times New Roman" w:hAnsi="inherit" w:cs="Times New Roman"/>
          <w:color w:val="000000"/>
          <w:sz w:val="24"/>
          <w:szCs w:val="24"/>
          <w:lang w:eastAsia="en-GB"/>
        </w:rPr>
        <w:t>(l)</w:t>
      </w:r>
      <w:r w:rsidRPr="00667EDB">
        <w:rPr>
          <w:rFonts w:ascii="inherit" w:eastAsia="Times New Roman" w:hAnsi="inherit" w:cs="Times New Roman"/>
          <w:color w:val="000000"/>
          <w:sz w:val="24"/>
          <w:szCs w:val="24"/>
          <w:lang w:eastAsia="en-GB"/>
        </w:rPr>
        <w:t xml:space="preserve"> </w:t>
      </w:r>
      <w:proofErr w:type="gramStart"/>
      <w:r w:rsidRPr="000A3A8F">
        <w:rPr>
          <w:rFonts w:ascii="inherit" w:eastAsia="Times New Roman" w:hAnsi="inherit" w:cs="Times New Roman"/>
          <w:color w:val="000000"/>
          <w:sz w:val="24"/>
          <w:szCs w:val="24"/>
          <w:lang w:eastAsia="en-GB"/>
        </w:rPr>
        <w:t>template</w:t>
      </w:r>
      <w:proofErr w:type="gramEnd"/>
      <w:r w:rsidRPr="000A3A8F">
        <w:rPr>
          <w:rFonts w:ascii="inherit" w:eastAsia="Times New Roman" w:hAnsi="inherit" w:cs="Times New Roman"/>
          <w:color w:val="000000"/>
          <w:sz w:val="24"/>
          <w:szCs w:val="24"/>
          <w:lang w:eastAsia="en-GB"/>
        </w:rPr>
        <w:t xml:space="preserve"> SR.27.01.01 of Annex I, specifying information on non-life catastrophe risk, following the instructions set out in section S.27.01 of Annex III.</w:t>
      </w:r>
    </w:p>
    <w:p w14:paraId="06BF7DAB"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2A852CE0"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1F9970B4"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2FD0F255"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p w14:paraId="07314CBB" w14:textId="6A8FEF0B"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2.   Where a partial internal model is used, the templates referred to in points (</w:t>
      </w:r>
      <w:r w:rsidR="00512A6D">
        <w:rPr>
          <w:rFonts w:ascii="Times New Roman" w:eastAsia="Times New Roman" w:hAnsi="Times New Roman" w:cs="Times New Roman"/>
          <w:color w:val="000000"/>
          <w:sz w:val="24"/>
          <w:szCs w:val="24"/>
          <w:lang w:eastAsia="en-GB"/>
        </w:rPr>
        <w:t>d</w:t>
      </w:r>
      <w:r w:rsidRPr="000A3A8F">
        <w:rPr>
          <w:rFonts w:ascii="Times New Roman" w:eastAsia="Times New Roman" w:hAnsi="Times New Roman" w:cs="Times New Roman"/>
          <w:color w:val="000000"/>
          <w:sz w:val="24"/>
          <w:szCs w:val="24"/>
          <w:lang w:eastAsia="en-GB"/>
        </w:rPr>
        <w:t>) to (l) of paragraph 1 shall only be reported in relation to the risks covered by the standard formula</w:t>
      </w:r>
      <w:r w:rsidR="00073038">
        <w:rPr>
          <w:rFonts w:ascii="Times New Roman" w:eastAsia="Times New Roman" w:hAnsi="Times New Roman" w:cs="Times New Roman"/>
          <w:color w:val="000000"/>
          <w:sz w:val="24"/>
          <w:szCs w:val="24"/>
          <w:lang w:eastAsia="en-GB"/>
        </w:rPr>
        <w:t xml:space="preserve"> and the template referred in point (</w:t>
      </w:r>
      <w:r w:rsidR="00512A6D">
        <w:rPr>
          <w:rFonts w:ascii="Times New Roman" w:eastAsia="Times New Roman" w:hAnsi="Times New Roman" w:cs="Times New Roman"/>
          <w:color w:val="000000"/>
          <w:sz w:val="24"/>
          <w:szCs w:val="24"/>
          <w:lang w:eastAsia="en-GB"/>
        </w:rPr>
        <w:t>k</w:t>
      </w:r>
      <w:r w:rsidR="00073038">
        <w:rPr>
          <w:rFonts w:ascii="Times New Roman" w:eastAsia="Times New Roman" w:hAnsi="Times New Roman" w:cs="Times New Roman"/>
          <w:color w:val="000000"/>
          <w:sz w:val="24"/>
          <w:szCs w:val="24"/>
          <w:lang w:eastAsia="en-GB"/>
        </w:rPr>
        <w:t xml:space="preserve">) </w:t>
      </w:r>
      <w:r w:rsidR="00073038" w:rsidRPr="008004A3">
        <w:rPr>
          <w:rFonts w:ascii="Times New Roman" w:eastAsia="Times New Roman" w:hAnsi="Times New Roman" w:cs="Times New Roman"/>
          <w:color w:val="000000"/>
          <w:sz w:val="24"/>
          <w:szCs w:val="24"/>
          <w:lang w:eastAsia="en-GB"/>
        </w:rPr>
        <w:t>shall be reported in relation to the risks covered by the internal model</w:t>
      </w:r>
      <w:r w:rsidRPr="008004A3">
        <w:rPr>
          <w:rFonts w:ascii="Times New Roman" w:eastAsia="Times New Roman" w:hAnsi="Times New Roman" w:cs="Times New Roman"/>
          <w:color w:val="000000"/>
          <w:sz w:val="24"/>
          <w:szCs w:val="24"/>
          <w:lang w:eastAsia="en-GB"/>
        </w:rPr>
        <w:t>.</w:t>
      </w:r>
    </w:p>
    <w:p w14:paraId="0959460D" w14:textId="709CFE08"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3.   Where a full internal model is used, the te</w:t>
      </w:r>
      <w:r w:rsidR="00512A6D">
        <w:rPr>
          <w:rFonts w:ascii="Times New Roman" w:eastAsia="Times New Roman" w:hAnsi="Times New Roman" w:cs="Times New Roman"/>
          <w:color w:val="000000"/>
          <w:sz w:val="24"/>
          <w:szCs w:val="24"/>
          <w:lang w:eastAsia="en-GB"/>
        </w:rPr>
        <w:t>mplates referred to in points (d</w:t>
      </w:r>
      <w:r w:rsidRPr="000A3A8F">
        <w:rPr>
          <w:rFonts w:ascii="Times New Roman" w:eastAsia="Times New Roman" w:hAnsi="Times New Roman" w:cs="Times New Roman"/>
          <w:color w:val="000000"/>
          <w:sz w:val="24"/>
          <w:szCs w:val="24"/>
          <w:lang w:eastAsia="en-GB"/>
        </w:rPr>
        <w:t>) to (l) of paragraph 1 shall not be reported</w:t>
      </w:r>
      <w:r w:rsidR="00073038">
        <w:rPr>
          <w:rFonts w:ascii="Times New Roman" w:eastAsia="Times New Roman" w:hAnsi="Times New Roman" w:cs="Times New Roman"/>
          <w:color w:val="000000"/>
          <w:sz w:val="24"/>
          <w:szCs w:val="24"/>
          <w:lang w:eastAsia="en-GB"/>
        </w:rPr>
        <w:t xml:space="preserve"> and </w:t>
      </w:r>
      <w:r w:rsidR="00512A6D">
        <w:rPr>
          <w:rFonts w:ascii="Times New Roman" w:eastAsia="Times New Roman" w:hAnsi="Times New Roman" w:cs="Times New Roman"/>
          <w:color w:val="000000"/>
          <w:sz w:val="24"/>
          <w:szCs w:val="24"/>
          <w:lang w:eastAsia="en-GB"/>
        </w:rPr>
        <w:t>template referred to in point (d</w:t>
      </w:r>
      <w:r w:rsidR="00073038">
        <w:rPr>
          <w:rFonts w:ascii="Times New Roman" w:eastAsia="Times New Roman" w:hAnsi="Times New Roman" w:cs="Times New Roman"/>
          <w:color w:val="000000"/>
          <w:sz w:val="24"/>
          <w:szCs w:val="24"/>
          <w:lang w:eastAsia="en-GB"/>
        </w:rPr>
        <w:t>) shall be reported</w:t>
      </w:r>
      <w:r w:rsidRPr="000A3A8F">
        <w:rPr>
          <w:rFonts w:ascii="Times New Roman" w:eastAsia="Times New Roman" w:hAnsi="Times New Roman" w:cs="Times New Roman"/>
          <w:color w:val="000000"/>
          <w:sz w:val="24"/>
          <w:szCs w:val="24"/>
          <w:lang w:eastAsia="en-GB"/>
        </w:rPr>
        <w:t>.</w:t>
      </w:r>
    </w:p>
    <w:p w14:paraId="40E12954"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4.   Participating insurance and reinsurance undertakings, insurance holding companies and mixed financial holding companies which, for the calculation of group solvency, use method 1 as defined in Article 230 of Directive 2009/138/EC, either exclusively or in combination with method 2 as defined in Article 233 of that Directive, shall, in addition to the information submitted using templates referred to in paragraph 1, annually submit balance sheet information in relation to all material ring-fenced funds related to the part that is consolidated as referred to in points (a) or (c) of Article 335(1) of Delegated Regulation (EU) 2015/35, as well as in relation to the remaining part, as referred to in Article 304(1)(d) of Delegated Regulation (EU) 2015/35, in conjunction with Article 372(1) of that Delegated Regulation, using template SR.02.01.01 of Annex I to this Regulation, following the instructions set out in section S.02.01 of Annex III to this Regulation.</w:t>
      </w:r>
    </w:p>
    <w:p w14:paraId="5C438F8A" w14:textId="647910ED" w:rsidR="000A3A8F" w:rsidRPr="000A3A8F" w:rsidRDefault="00512A6D"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Pr>
          <w:rFonts w:ascii="Times New Roman" w:eastAsia="Times New Roman" w:hAnsi="Times New Roman" w:cs="Times New Roman"/>
          <w:i/>
          <w:iCs/>
          <w:color w:val="000000"/>
          <w:sz w:val="24"/>
          <w:szCs w:val="24"/>
          <w:lang w:eastAsia="en-GB"/>
        </w:rPr>
        <w:t>Article 33</w:t>
      </w:r>
    </w:p>
    <w:p w14:paraId="26E68F94" w14:textId="77777777"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Quantitative templates for groups — intra-group transactions and risk concentrations</w:t>
      </w:r>
    </w:p>
    <w:p w14:paraId="761EF090"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Participating insurance and reinsurance undertakings, insurance holding companies and mixed financial holding companies shall report:</w:t>
      </w:r>
    </w:p>
    <w:tbl>
      <w:tblPr>
        <w:tblW w:w="5000" w:type="pct"/>
        <w:shd w:val="clear" w:color="auto" w:fill="FFFFFF"/>
        <w:tblCellMar>
          <w:left w:w="0" w:type="dxa"/>
          <w:right w:w="0" w:type="dxa"/>
        </w:tblCellMar>
        <w:tblLook w:val="04A0" w:firstRow="1" w:lastRow="0" w:firstColumn="1" w:lastColumn="0" w:noHBand="0" w:noVBand="1"/>
      </w:tblPr>
      <w:tblGrid>
        <w:gridCol w:w="267"/>
        <w:gridCol w:w="8759"/>
      </w:tblGrid>
      <w:tr w:rsidR="000A3A8F" w:rsidRPr="000A3A8F" w14:paraId="70603D74" w14:textId="77777777" w:rsidTr="000A3A8F">
        <w:tc>
          <w:tcPr>
            <w:tcW w:w="0" w:type="auto"/>
            <w:shd w:val="clear" w:color="auto" w:fill="FFFFFF"/>
            <w:hideMark/>
          </w:tcPr>
          <w:p w14:paraId="1BFFAF50"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(a)</w:t>
            </w:r>
          </w:p>
        </w:tc>
        <w:tc>
          <w:tcPr>
            <w:tcW w:w="0" w:type="auto"/>
            <w:shd w:val="clear" w:color="auto" w:fill="FFFFFF"/>
            <w:hideMark/>
          </w:tcPr>
          <w:p w14:paraId="3AF5523A" w14:textId="4DE61F4A" w:rsidR="000A3A8F" w:rsidRPr="000A3A8F" w:rsidRDefault="000A3A8F" w:rsidP="00E564DB">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significant and very significant intra-group transactions referred to in the first and second subparagraphs of Article 245(2) of Directive 2009/138/EC and intra-group transactions to be reported in all circumstances referred to in Article 245(3) of that Directive using, as appropriate, templates S.36.01.01, S.36.02.01, S.36.03.01</w:t>
            </w:r>
            <w:r w:rsidR="00DE0BDE">
              <w:rPr>
                <w:rFonts w:ascii="inherit" w:eastAsia="Times New Roman" w:hAnsi="inherit" w:cs="Times New Roman"/>
                <w:color w:val="000000"/>
                <w:sz w:val="24"/>
                <w:szCs w:val="24"/>
                <w:lang w:eastAsia="en-GB"/>
              </w:rPr>
              <w:t xml:space="preserve">, </w:t>
            </w:r>
            <w:r w:rsidR="00DE0BDE" w:rsidRPr="000A3A8F">
              <w:rPr>
                <w:rFonts w:ascii="inherit" w:eastAsia="Times New Roman" w:hAnsi="inherit" w:cs="Times New Roman"/>
                <w:color w:val="000000"/>
                <w:sz w:val="24"/>
                <w:szCs w:val="24"/>
                <w:lang w:eastAsia="en-GB"/>
              </w:rPr>
              <w:t>S.36.04.01</w:t>
            </w:r>
            <w:r w:rsidRPr="000A3A8F">
              <w:rPr>
                <w:rFonts w:ascii="inherit" w:eastAsia="Times New Roman" w:hAnsi="inherit" w:cs="Times New Roman"/>
                <w:color w:val="000000"/>
                <w:sz w:val="24"/>
                <w:szCs w:val="24"/>
                <w:lang w:eastAsia="en-GB"/>
              </w:rPr>
              <w:t xml:space="preserve"> and S.36.0</w:t>
            </w:r>
            <w:r w:rsidR="00DE0BDE">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.01 of Annex I to this Regulation, following the instructions set out in section S.36.0</w:t>
            </w:r>
            <w:r w:rsidR="00E564DB">
              <w:rPr>
                <w:rFonts w:ascii="inherit" w:eastAsia="Times New Roman" w:hAnsi="inherit" w:cs="Times New Roman"/>
                <w:color w:val="000000"/>
                <w:sz w:val="24"/>
                <w:szCs w:val="24"/>
                <w:lang w:eastAsia="en-GB"/>
              </w:rPr>
              <w:t>1</w:t>
            </w:r>
            <w:r w:rsidRPr="000A3A8F">
              <w:rPr>
                <w:rFonts w:ascii="inherit" w:eastAsia="Times New Roman" w:hAnsi="inherit" w:cs="Times New Roman"/>
                <w:color w:val="000000"/>
                <w:sz w:val="24"/>
                <w:szCs w:val="24"/>
                <w:lang w:eastAsia="en-GB"/>
              </w:rPr>
              <w:t xml:space="preserve"> to S.36.0</w:t>
            </w:r>
            <w:r w:rsidR="00DE0BDE">
              <w:rPr>
                <w:rFonts w:ascii="inherit" w:eastAsia="Times New Roman" w:hAnsi="inherit" w:cs="Times New Roman"/>
                <w:color w:val="000000"/>
                <w:sz w:val="24"/>
                <w:szCs w:val="24"/>
                <w:lang w:eastAsia="en-GB"/>
              </w:rPr>
              <w:t>5</w:t>
            </w:r>
            <w:r w:rsidRPr="000A3A8F">
              <w:rPr>
                <w:rFonts w:ascii="inherit" w:eastAsia="Times New Roman" w:hAnsi="inherit" w:cs="Times New Roman"/>
                <w:color w:val="000000"/>
                <w:sz w:val="24"/>
                <w:szCs w:val="24"/>
                <w:lang w:eastAsia="en-GB"/>
              </w:rPr>
              <w:t xml:space="preserve"> of Annex III to this Regulation;</w:t>
            </w:r>
          </w:p>
        </w:tc>
      </w:tr>
    </w:tbl>
    <w:p w14:paraId="372288CC" w14:textId="77777777" w:rsidR="000A3A8F" w:rsidRPr="000A3A8F" w:rsidRDefault="000A3A8F" w:rsidP="000A3A8F">
      <w:pPr>
        <w:spacing w:after="0" w:line="240" w:lineRule="auto"/>
        <w:rPr>
          <w:rFonts w:ascii="Times New Roman" w:eastAsia="Times New Roman" w:hAnsi="Times New Roman" w:cs="Times New Roman"/>
          <w:vanish/>
          <w:sz w:val="24"/>
          <w:szCs w:val="24"/>
          <w:lang w:eastAsia="en-GB"/>
        </w:rPr>
      </w:pPr>
    </w:p>
    <w:tbl>
      <w:tblPr>
        <w:tblW w:w="5000" w:type="pct"/>
        <w:shd w:val="clear" w:color="auto" w:fill="FFFFFF"/>
        <w:tblCellMar>
          <w:left w:w="0" w:type="dxa"/>
          <w:right w:w="0" w:type="dxa"/>
        </w:tblCellMar>
        <w:tblLook w:val="04A0" w:firstRow="1" w:lastRow="0" w:firstColumn="1" w:lastColumn="0" w:noHBand="0" w:noVBand="1"/>
      </w:tblPr>
      <w:tblGrid>
        <w:gridCol w:w="280"/>
        <w:gridCol w:w="8746"/>
      </w:tblGrid>
      <w:tr w:rsidR="000A3A8F" w:rsidRPr="000A3A8F" w14:paraId="02882F34" w14:textId="77777777" w:rsidTr="008004A3">
        <w:tc>
          <w:tcPr>
            <w:tcW w:w="0" w:type="auto"/>
            <w:shd w:val="clear" w:color="auto" w:fill="FFFFFF"/>
            <w:hideMark/>
          </w:tcPr>
          <w:p w14:paraId="42E6C51D" w14:textId="77777777" w:rsidR="000A3A8F" w:rsidRPr="000A3A8F" w:rsidRDefault="000A3A8F" w:rsidP="000A3A8F">
            <w:pPr>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(b)</w:t>
            </w:r>
          </w:p>
        </w:tc>
        <w:tc>
          <w:tcPr>
            <w:tcW w:w="0" w:type="auto"/>
            <w:shd w:val="clear" w:color="auto" w:fill="FFFFFF"/>
          </w:tcPr>
          <w:p w14:paraId="5E627750" w14:textId="11904589" w:rsidR="00E822E2" w:rsidRPr="000A3A8F" w:rsidRDefault="000A3A8F" w:rsidP="00E966E0">
            <w:pPr>
              <w:spacing w:before="120" w:after="0" w:line="240" w:lineRule="auto"/>
              <w:jc w:val="both"/>
              <w:rPr>
                <w:rFonts w:ascii="inherit" w:eastAsia="Times New Roman" w:hAnsi="inherit" w:cs="Times New Roman"/>
                <w:color w:val="000000"/>
                <w:sz w:val="24"/>
                <w:szCs w:val="24"/>
                <w:lang w:eastAsia="en-GB"/>
              </w:rPr>
            </w:pPr>
            <w:proofErr w:type="gramStart"/>
            <w:r w:rsidRPr="000A3A8F">
              <w:rPr>
                <w:rFonts w:ascii="inherit" w:eastAsia="Times New Roman" w:hAnsi="inherit" w:cs="Times New Roman"/>
                <w:color w:val="000000"/>
                <w:sz w:val="24"/>
                <w:szCs w:val="24"/>
                <w:lang w:eastAsia="en-GB"/>
              </w:rPr>
              <w:t>significant</w:t>
            </w:r>
            <w:proofErr w:type="gramEnd"/>
            <w:r w:rsidRPr="000A3A8F">
              <w:rPr>
                <w:rFonts w:ascii="inherit" w:eastAsia="Times New Roman" w:hAnsi="inherit" w:cs="Times New Roman"/>
                <w:color w:val="000000"/>
                <w:sz w:val="24"/>
                <w:szCs w:val="24"/>
                <w:lang w:eastAsia="en-GB"/>
              </w:rPr>
              <w:t xml:space="preserve"> risk concentrations referred to in Article 244(2) of Directive 2009/138/EC and risk concentrations to be reported in all circumstances referred to in Article 244(3) of that Directive using template S.37.01.04 of Annex I to this Regulation, following the instructions set out in section S.37.01 of Annex III to this Regulation.</w:t>
            </w:r>
          </w:p>
        </w:tc>
      </w:tr>
    </w:tbl>
    <w:p w14:paraId="3D878A06" w14:textId="77777777" w:rsidR="000A3A8F" w:rsidRPr="000A3A8F" w:rsidRDefault="000A3A8F" w:rsidP="000A3A8F">
      <w:pPr>
        <w:shd w:val="clear" w:color="auto" w:fill="FFFFFF"/>
        <w:spacing w:before="480" w:after="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CHAPTER IV</w:t>
      </w:r>
    </w:p>
    <w:p w14:paraId="13C6E180" w14:textId="7678FDC6" w:rsidR="000A3A8F" w:rsidRPr="000A3A8F" w:rsidRDefault="000A3A8F" w:rsidP="000A3A8F">
      <w:pPr>
        <w:shd w:val="clear" w:color="auto" w:fill="FFFFFF"/>
        <w:spacing w:before="75" w:after="120" w:line="240" w:lineRule="auto"/>
        <w:jc w:val="center"/>
        <w:rPr>
          <w:rFonts w:ascii="Times New Roman" w:eastAsia="Times New Roman" w:hAnsi="Times New Roman" w:cs="Times New Roman"/>
          <w:b/>
          <w:bCs/>
          <w:color w:val="000000"/>
          <w:sz w:val="24"/>
          <w:szCs w:val="24"/>
          <w:lang w:eastAsia="en-GB"/>
        </w:rPr>
      </w:pPr>
      <w:r w:rsidRPr="000A3A8F">
        <w:rPr>
          <w:rFonts w:ascii="inherit" w:eastAsia="Times New Roman" w:hAnsi="inherit" w:cs="Times New Roman"/>
          <w:b/>
          <w:bCs/>
          <w:color w:val="000000"/>
          <w:sz w:val="24"/>
          <w:szCs w:val="24"/>
          <w:lang w:eastAsia="en-GB"/>
        </w:rPr>
        <w:t>FINAL PROVISION</w:t>
      </w:r>
      <w:r w:rsidR="00412DDF">
        <w:rPr>
          <w:rFonts w:ascii="inherit" w:eastAsia="Times New Roman" w:hAnsi="inherit" w:cs="Times New Roman"/>
          <w:b/>
          <w:bCs/>
          <w:color w:val="000000"/>
          <w:sz w:val="24"/>
          <w:szCs w:val="24"/>
          <w:lang w:eastAsia="en-GB"/>
        </w:rPr>
        <w:t>S</w:t>
      </w:r>
    </w:p>
    <w:p w14:paraId="4FC5A365" w14:textId="09E916AE" w:rsidR="000A3A8F" w:rsidRPr="000A3A8F" w:rsidRDefault="000A3A8F" w:rsidP="000A3A8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0A3A8F">
        <w:rPr>
          <w:rFonts w:ascii="Times New Roman" w:eastAsia="Times New Roman" w:hAnsi="Times New Roman" w:cs="Times New Roman"/>
          <w:i/>
          <w:iCs/>
          <w:color w:val="000000"/>
          <w:sz w:val="24"/>
          <w:szCs w:val="24"/>
          <w:lang w:eastAsia="en-GB"/>
        </w:rPr>
        <w:lastRenderedPageBreak/>
        <w:t>Article 3</w:t>
      </w:r>
      <w:r w:rsidR="00512A6D">
        <w:rPr>
          <w:rFonts w:ascii="Times New Roman" w:eastAsia="Times New Roman" w:hAnsi="Times New Roman" w:cs="Times New Roman"/>
          <w:i/>
          <w:iCs/>
          <w:color w:val="000000"/>
          <w:sz w:val="24"/>
          <w:szCs w:val="24"/>
          <w:lang w:eastAsia="en-GB"/>
        </w:rPr>
        <w:t>4</w:t>
      </w:r>
    </w:p>
    <w:p w14:paraId="6C1A46DC" w14:textId="77777777" w:rsidR="00CF2F4B" w:rsidRPr="00CF2F4B" w:rsidRDefault="00CF2F4B" w:rsidP="00CF2F4B">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CF2F4B">
        <w:rPr>
          <w:rFonts w:ascii="Times New Roman" w:eastAsia="Times New Roman" w:hAnsi="Times New Roman" w:cs="Times New Roman"/>
          <w:b/>
          <w:bCs/>
          <w:color w:val="000000"/>
          <w:sz w:val="24"/>
          <w:szCs w:val="24"/>
          <w:lang w:eastAsia="en-GB"/>
        </w:rPr>
        <w:t>Repeal</w:t>
      </w:r>
    </w:p>
    <w:p w14:paraId="471D58B6" w14:textId="4E30F151" w:rsidR="00CF2F4B" w:rsidRPr="00CF2F4B" w:rsidRDefault="00CF2F4B" w:rsidP="00CF2F4B">
      <w:pPr>
        <w:shd w:val="clear" w:color="auto" w:fill="FFFFFF"/>
        <w:spacing w:before="60" w:after="120" w:line="240" w:lineRule="auto"/>
        <w:jc w:val="both"/>
        <w:rPr>
          <w:rFonts w:ascii="Times New Roman" w:eastAsia="Times New Roman" w:hAnsi="Times New Roman" w:cs="Times New Roman"/>
          <w:color w:val="000000"/>
          <w:sz w:val="24"/>
          <w:szCs w:val="24"/>
          <w:lang w:eastAsia="en-GB"/>
        </w:rPr>
      </w:pPr>
      <w:r w:rsidRPr="00CF2F4B">
        <w:rPr>
          <w:rFonts w:ascii="Times New Roman" w:eastAsia="Times New Roman" w:hAnsi="Times New Roman" w:cs="Times New Roman"/>
          <w:color w:val="000000"/>
          <w:sz w:val="24"/>
          <w:szCs w:val="24"/>
          <w:lang w:eastAsia="en-GB"/>
        </w:rPr>
        <w:t>Implementing Regulation (EU) 2015/2450 is repealed.</w:t>
      </w:r>
    </w:p>
    <w:p w14:paraId="16F35193" w14:textId="39DF0455" w:rsidR="00CF2F4B" w:rsidRDefault="00CF2F4B"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p>
    <w:p w14:paraId="3BB5F849" w14:textId="7CBC6810" w:rsidR="00412DDF" w:rsidRPr="00412DDF" w:rsidRDefault="00412DDF" w:rsidP="00412DDF">
      <w:pPr>
        <w:shd w:val="clear" w:color="auto" w:fill="FFFFFF"/>
        <w:spacing w:before="360" w:after="120" w:line="240" w:lineRule="auto"/>
        <w:jc w:val="center"/>
        <w:rPr>
          <w:rFonts w:ascii="Times New Roman" w:eastAsia="Times New Roman" w:hAnsi="Times New Roman" w:cs="Times New Roman"/>
          <w:i/>
          <w:iCs/>
          <w:color w:val="000000"/>
          <w:sz w:val="24"/>
          <w:szCs w:val="24"/>
          <w:lang w:eastAsia="en-GB"/>
        </w:rPr>
      </w:pPr>
      <w:r w:rsidRPr="00412DDF">
        <w:rPr>
          <w:rFonts w:ascii="Times New Roman" w:eastAsia="Times New Roman" w:hAnsi="Times New Roman" w:cs="Times New Roman"/>
          <w:i/>
          <w:iCs/>
          <w:color w:val="000000"/>
          <w:sz w:val="24"/>
          <w:szCs w:val="24"/>
          <w:lang w:eastAsia="en-GB"/>
        </w:rPr>
        <w:t>Article 35</w:t>
      </w:r>
    </w:p>
    <w:p w14:paraId="0F8D25EF" w14:textId="5B7A2970" w:rsidR="000A3A8F" w:rsidRPr="000A3A8F" w:rsidRDefault="000A3A8F" w:rsidP="000A3A8F">
      <w:pPr>
        <w:shd w:val="clear" w:color="auto" w:fill="FFFFFF"/>
        <w:spacing w:before="60" w:after="120" w:line="240" w:lineRule="auto"/>
        <w:jc w:val="center"/>
        <w:rPr>
          <w:rFonts w:ascii="Times New Roman" w:eastAsia="Times New Roman" w:hAnsi="Times New Roman" w:cs="Times New Roman"/>
          <w:b/>
          <w:bCs/>
          <w:color w:val="000000"/>
          <w:sz w:val="24"/>
          <w:szCs w:val="24"/>
          <w:lang w:eastAsia="en-GB"/>
        </w:rPr>
      </w:pPr>
      <w:r w:rsidRPr="000A3A8F">
        <w:rPr>
          <w:rFonts w:ascii="Times New Roman" w:eastAsia="Times New Roman" w:hAnsi="Times New Roman" w:cs="Times New Roman"/>
          <w:b/>
          <w:bCs/>
          <w:color w:val="000000"/>
          <w:sz w:val="24"/>
          <w:szCs w:val="24"/>
          <w:lang w:eastAsia="en-GB"/>
        </w:rPr>
        <w:t>Entry into force</w:t>
      </w:r>
      <w:r w:rsidR="00412DDF" w:rsidRPr="00412DDF">
        <w:t xml:space="preserve"> </w:t>
      </w:r>
      <w:r w:rsidR="00412DDF" w:rsidRPr="00412DDF">
        <w:rPr>
          <w:rFonts w:ascii="Times New Roman" w:eastAsia="Times New Roman" w:hAnsi="Times New Roman" w:cs="Times New Roman"/>
          <w:b/>
          <w:bCs/>
          <w:color w:val="000000"/>
          <w:sz w:val="24"/>
          <w:szCs w:val="24"/>
          <w:lang w:eastAsia="en-GB"/>
        </w:rPr>
        <w:t>and application</w:t>
      </w:r>
    </w:p>
    <w:p w14:paraId="34F4F7C6" w14:textId="77777777" w:rsidR="000A3A8F" w:rsidRP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This Regulation shall enter into force on the day following that of its publication in the </w:t>
      </w:r>
      <w:r w:rsidRPr="000A3A8F">
        <w:rPr>
          <w:rFonts w:ascii="inherit" w:eastAsia="Times New Roman" w:hAnsi="inherit" w:cs="Times New Roman"/>
          <w:i/>
          <w:iCs/>
          <w:color w:val="000000"/>
          <w:sz w:val="24"/>
          <w:szCs w:val="24"/>
          <w:lang w:eastAsia="en-GB"/>
        </w:rPr>
        <w:t>Official Journal of the European Union</w:t>
      </w:r>
      <w:r w:rsidRPr="000A3A8F">
        <w:rPr>
          <w:rFonts w:ascii="Times New Roman" w:eastAsia="Times New Roman" w:hAnsi="Times New Roman" w:cs="Times New Roman"/>
          <w:color w:val="000000"/>
          <w:sz w:val="24"/>
          <w:szCs w:val="24"/>
          <w:lang w:eastAsia="en-GB"/>
        </w:rPr>
        <w:t>.</w:t>
      </w:r>
    </w:p>
    <w:p w14:paraId="34D23861" w14:textId="252CE1A7" w:rsidR="000A3A8F" w:rsidRDefault="000A3A8F"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r w:rsidRPr="000A3A8F">
        <w:rPr>
          <w:rFonts w:ascii="Times New Roman" w:eastAsia="Times New Roman" w:hAnsi="Times New Roman" w:cs="Times New Roman"/>
          <w:color w:val="000000"/>
          <w:sz w:val="24"/>
          <w:szCs w:val="24"/>
          <w:lang w:eastAsia="en-GB"/>
        </w:rPr>
        <w:t xml:space="preserve">This Regulation shall apply from </w:t>
      </w:r>
      <w:r w:rsidR="000A1A82">
        <w:rPr>
          <w:rFonts w:ascii="Times New Roman" w:eastAsia="Times New Roman" w:hAnsi="Times New Roman" w:cs="Times New Roman"/>
          <w:color w:val="000000"/>
          <w:sz w:val="24"/>
          <w:szCs w:val="24"/>
          <w:lang w:eastAsia="en-GB"/>
        </w:rPr>
        <w:t>31 December 202</w:t>
      </w:r>
      <w:r w:rsidR="00716021">
        <w:rPr>
          <w:rFonts w:ascii="Times New Roman" w:eastAsia="Times New Roman" w:hAnsi="Times New Roman" w:cs="Times New Roman"/>
          <w:color w:val="000000"/>
          <w:sz w:val="24"/>
          <w:szCs w:val="24"/>
          <w:lang w:eastAsia="en-GB"/>
        </w:rPr>
        <w:t>3</w:t>
      </w:r>
      <w:r w:rsidRPr="000A3A8F">
        <w:rPr>
          <w:rFonts w:ascii="Times New Roman" w:eastAsia="Times New Roman" w:hAnsi="Times New Roman" w:cs="Times New Roman"/>
          <w:color w:val="000000"/>
          <w:sz w:val="24"/>
          <w:szCs w:val="24"/>
          <w:lang w:eastAsia="en-GB"/>
        </w:rPr>
        <w:t>.</w:t>
      </w:r>
    </w:p>
    <w:p w14:paraId="45D98169" w14:textId="77777777" w:rsidR="00B20E35" w:rsidRPr="000A3A8F" w:rsidRDefault="00B20E35" w:rsidP="000A3A8F">
      <w:pPr>
        <w:shd w:val="clear" w:color="auto" w:fill="FFFFFF"/>
        <w:spacing w:before="120" w:after="0" w:line="240" w:lineRule="auto"/>
        <w:jc w:val="both"/>
        <w:rPr>
          <w:rFonts w:ascii="Times New Roman" w:eastAsia="Times New Roman" w:hAnsi="Times New Roman" w:cs="Times New Roman"/>
          <w:color w:val="000000"/>
          <w:sz w:val="24"/>
          <w:szCs w:val="24"/>
          <w:lang w:eastAsia="en-GB"/>
        </w:rPr>
      </w:pPr>
    </w:p>
    <w:p w14:paraId="7FC9A5B8" w14:textId="77777777" w:rsidR="000A3A8F" w:rsidRPr="000A3A8F" w:rsidRDefault="000A3A8F" w:rsidP="000A3A8F">
      <w:pPr>
        <w:shd w:val="clear" w:color="auto" w:fill="FFFFFF"/>
        <w:spacing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This Regulation shall be binding in its entirety and directly applicable in all Member States.</w:t>
      </w:r>
    </w:p>
    <w:p w14:paraId="75E784CB" w14:textId="3F483328" w:rsidR="000A3A8F" w:rsidRPr="000A3A8F" w:rsidRDefault="000A3A8F" w:rsidP="000A3A8F">
      <w:pPr>
        <w:shd w:val="clear" w:color="auto" w:fill="FFFFFF"/>
        <w:spacing w:before="120" w:after="0" w:line="240" w:lineRule="auto"/>
        <w:jc w:val="both"/>
        <w:rPr>
          <w:rFonts w:ascii="inherit" w:eastAsia="Times New Roman" w:hAnsi="inherit" w:cs="Times New Roman"/>
          <w:color w:val="000000"/>
          <w:sz w:val="24"/>
          <w:szCs w:val="24"/>
          <w:lang w:eastAsia="en-GB"/>
        </w:rPr>
      </w:pPr>
      <w:r w:rsidRPr="000A3A8F">
        <w:rPr>
          <w:rFonts w:ascii="inherit" w:eastAsia="Times New Roman" w:hAnsi="inherit" w:cs="Times New Roman"/>
          <w:color w:val="000000"/>
          <w:sz w:val="24"/>
          <w:szCs w:val="24"/>
          <w:lang w:eastAsia="en-GB"/>
        </w:rPr>
        <w:t xml:space="preserve">Done at Brussels, </w:t>
      </w:r>
      <w:proofErr w:type="spellStart"/>
      <w:r w:rsidR="00750074">
        <w:rPr>
          <w:rFonts w:ascii="inherit" w:eastAsia="Times New Roman" w:hAnsi="inherit" w:cs="Times New Roman"/>
          <w:color w:val="000000"/>
          <w:sz w:val="24"/>
          <w:szCs w:val="24"/>
          <w:lang w:eastAsia="en-GB"/>
        </w:rPr>
        <w:t>xxxxx</w:t>
      </w:r>
      <w:proofErr w:type="spellEnd"/>
      <w:r w:rsidRPr="000A3A8F">
        <w:rPr>
          <w:rFonts w:ascii="inherit" w:eastAsia="Times New Roman" w:hAnsi="inherit" w:cs="Times New Roman"/>
          <w:color w:val="000000"/>
          <w:sz w:val="24"/>
          <w:szCs w:val="24"/>
          <w:lang w:eastAsia="en-GB"/>
        </w:rPr>
        <w:t>.</w:t>
      </w:r>
    </w:p>
    <w:p w14:paraId="4DDE50D0" w14:textId="77777777" w:rsidR="000A3A8F" w:rsidRPr="000A3A8F" w:rsidRDefault="000A3A8F" w:rsidP="000A3A8F">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0A3A8F">
        <w:rPr>
          <w:rFonts w:ascii="inherit" w:eastAsia="Times New Roman" w:hAnsi="inherit" w:cs="Times New Roman"/>
          <w:i/>
          <w:iCs/>
          <w:color w:val="000000"/>
          <w:sz w:val="24"/>
          <w:szCs w:val="24"/>
          <w:lang w:eastAsia="en-GB"/>
        </w:rPr>
        <w:t>For the Commission</w:t>
      </w:r>
    </w:p>
    <w:p w14:paraId="64CF1925" w14:textId="77777777" w:rsidR="000A3A8F" w:rsidRPr="000A3A8F" w:rsidRDefault="000A3A8F" w:rsidP="000A3A8F">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0A3A8F">
        <w:rPr>
          <w:rFonts w:ascii="inherit" w:eastAsia="Times New Roman" w:hAnsi="inherit" w:cs="Times New Roman"/>
          <w:i/>
          <w:iCs/>
          <w:color w:val="000000"/>
          <w:sz w:val="24"/>
          <w:szCs w:val="24"/>
          <w:lang w:eastAsia="en-GB"/>
        </w:rPr>
        <w:t>The President</w:t>
      </w:r>
    </w:p>
    <w:p w14:paraId="054CA73C" w14:textId="2C1FE3A3" w:rsidR="0020067C" w:rsidRPr="006A7A60" w:rsidRDefault="0020067C" w:rsidP="006A7A60"/>
    <w:p w14:paraId="27519A69" w14:textId="77777777" w:rsidR="00DA2770" w:rsidRDefault="00DA2770"/>
    <w:sectPr w:rsidR="00DA2770" w:rsidSect="00E70C65">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187F0F00" w16cid:durableId="257E9166"/>
  <w16cid:commentId w16cid:paraId="6B48A410" w16cid:durableId="257E92F0"/>
  <w16cid:commentId w16cid:paraId="7F3E4AE3" w16cid:durableId="257E9167"/>
  <w16cid:commentId w16cid:paraId="641CC084" w16cid:durableId="257E9168"/>
  <w16cid:commentId w16cid:paraId="7FB40D7F" w16cid:durableId="257E92A5"/>
  <w16cid:commentId w16cid:paraId="378A65A5" w16cid:durableId="257E9169"/>
  <w16cid:commentId w16cid:paraId="08053FDA" w16cid:durableId="257E916A"/>
  <w16cid:commentId w16cid:paraId="4B106396" w16cid:durableId="257E916B"/>
  <w16cid:commentId w16cid:paraId="73F16563" w16cid:durableId="257E916C"/>
  <w16cid:commentId w16cid:paraId="137BADF7" w16cid:durableId="257E916D"/>
  <w16cid:commentId w16cid:paraId="34A9F0DB" w16cid:durableId="257E916E"/>
  <w16cid:commentId w16cid:paraId="21C2758A" w16cid:durableId="257E916F"/>
  <w16cid:commentId w16cid:paraId="7CFD1955" w16cid:durableId="257E917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0B3AA" w14:textId="77777777" w:rsidR="00731AFB" w:rsidRDefault="00731AFB">
      <w:pPr>
        <w:spacing w:after="0" w:line="240" w:lineRule="auto"/>
      </w:pPr>
      <w:r>
        <w:separator/>
      </w:r>
    </w:p>
  </w:endnote>
  <w:endnote w:type="continuationSeparator" w:id="0">
    <w:p w14:paraId="25E5BDE0" w14:textId="77777777" w:rsidR="00731AFB" w:rsidRDefault="00731A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altName w:val="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D4A2AD" w14:textId="77777777" w:rsidR="00F1538F" w:rsidRDefault="00F15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B04701" w14:textId="5BA9DE6C" w:rsidR="00F1538F" w:rsidRPr="00273A4A" w:rsidRDefault="00F1538F" w:rsidP="00E70C65">
    <w:pPr>
      <w:pStyle w:val="Footer"/>
      <w:tabs>
        <w:tab w:val="left" w:pos="2477"/>
      </w:tabs>
      <w:rPr>
        <w:rFonts w:ascii="Arial" w:hAnsi="Arial" w:cs="Arial"/>
        <w:b/>
        <w:sz w:val="48"/>
      </w:rPr>
    </w:pPr>
    <w:r w:rsidRPr="00273A4A">
      <w:rPr>
        <w:rFonts w:ascii="Arial" w:hAnsi="Arial" w:cs="Arial"/>
        <w:b/>
        <w:sz w:val="48"/>
      </w:rPr>
      <w:tab/>
    </w:r>
    <w:r>
      <w:rPr>
        <w:rFonts w:ascii="Arial" w:hAnsi="Arial" w:cs="Arial"/>
        <w:b/>
        <w:sz w:val="48"/>
      </w:rPr>
      <w:tab/>
    </w:r>
    <w:r>
      <w:fldChar w:fldCharType="begin"/>
    </w:r>
    <w:r>
      <w:instrText xml:space="preserve"> PAGE  \* MERGEFORMAT </w:instrText>
    </w:r>
    <w:r>
      <w:fldChar w:fldCharType="separate"/>
    </w:r>
    <w:r w:rsidR="00D86161">
      <w:rPr>
        <w:noProof/>
      </w:rPr>
      <w:t>35</w:t>
    </w:r>
    <w:r>
      <w:fldChar w:fldCharType="end"/>
    </w:r>
    <w:r>
      <w:tab/>
    </w:r>
  </w:p>
  <w:p w14:paraId="3FA09FE5" w14:textId="77777777" w:rsidR="00F1538F" w:rsidRDefault="00F1538F">
    <w:pPr>
      <w:pStyle w:val="Footer"/>
    </w:pPr>
  </w:p>
  <w:p w14:paraId="1022E652" w14:textId="77777777" w:rsidR="00F1538F" w:rsidRDefault="00F15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569A4" w14:textId="77777777" w:rsidR="00F1538F" w:rsidRDefault="00F1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C75005" w14:textId="77777777" w:rsidR="00731AFB" w:rsidRDefault="00731AFB">
      <w:pPr>
        <w:spacing w:after="0" w:line="240" w:lineRule="auto"/>
      </w:pPr>
      <w:r>
        <w:separator/>
      </w:r>
    </w:p>
  </w:footnote>
  <w:footnote w:type="continuationSeparator" w:id="0">
    <w:p w14:paraId="6CC79EC9" w14:textId="77777777" w:rsidR="00731AFB" w:rsidRDefault="00731AFB">
      <w:pPr>
        <w:spacing w:after="0" w:line="240" w:lineRule="auto"/>
      </w:pPr>
      <w:r>
        <w:continuationSeparator/>
      </w:r>
    </w:p>
  </w:footnote>
  <w:footnote w:id="1">
    <w:p w14:paraId="31720838" w14:textId="7BE31E90" w:rsidR="00F1538F" w:rsidRDefault="00F1538F">
      <w:pPr>
        <w:pStyle w:val="FootnoteText"/>
      </w:pPr>
      <w:r>
        <w:rPr>
          <w:rStyle w:val="FootnoteReference"/>
        </w:rPr>
        <w:footnoteRef/>
      </w:r>
      <w:r>
        <w:t xml:space="preserve"> </w:t>
      </w:r>
      <w:r w:rsidRPr="00B20E35">
        <w:t>OJ L 335, 17.12.2009, p. 1.</w:t>
      </w:r>
    </w:p>
  </w:footnote>
  <w:footnote w:id="2">
    <w:p w14:paraId="4D14F0AA" w14:textId="4341541E" w:rsidR="00F1538F" w:rsidRDefault="00F1538F">
      <w:pPr>
        <w:pStyle w:val="FootnoteText"/>
      </w:pPr>
      <w:r>
        <w:rPr>
          <w:rStyle w:val="FootnoteReference"/>
        </w:rPr>
        <w:footnoteRef/>
      </w:r>
      <w:r>
        <w:t xml:space="preserve"> Commission Delegated Regulation (EU) 2015/35 of 10 October 2014 supplementing Directive 2009/138/EC of the European Parliament and of the Council on the taking-up and pursuit of the business of Insurance and Reinsurance (Solvency II) (OJ L 12, 17.1.2015, p. 1).</w:t>
      </w:r>
    </w:p>
  </w:footnote>
  <w:footnote w:id="3">
    <w:p w14:paraId="16555047" w14:textId="4E856111" w:rsidR="00F1538F" w:rsidRDefault="00F1538F">
      <w:pPr>
        <w:pStyle w:val="FootnoteText"/>
      </w:pPr>
      <w:r>
        <w:rPr>
          <w:rStyle w:val="FootnoteReference"/>
        </w:rPr>
        <w:footnoteRef/>
      </w:r>
      <w:r>
        <w:t xml:space="preserve">  </w:t>
      </w:r>
      <w:r w:rsidRPr="00AE5D55">
        <w:t>Commission Implementing Regulation (EU) 2015/2450 of 2 December 2015 laying down implementing technical standards with regard to the templates for the submission of information to the supervisory authorities according to Directive 2009/138/EC of the European Parliament and of the Council (OJ L 347, 31.12.2015, p. 1).</w:t>
      </w:r>
    </w:p>
  </w:footnote>
  <w:footnote w:id="4">
    <w:p w14:paraId="5C1762AC" w14:textId="74070A78" w:rsidR="00F1538F" w:rsidRDefault="00F1538F">
      <w:pPr>
        <w:pStyle w:val="FootnoteText"/>
      </w:pPr>
      <w:r>
        <w:rPr>
          <w:rStyle w:val="FootnoteReference"/>
        </w:rPr>
        <w:footnoteRef/>
      </w:r>
      <w:r>
        <w:t xml:space="preserve"> Regulation (EU) No 1094/2010 of the European Parliament and of the Council of 24 November 2010 establishing a European Supervisory Authority (European Insurance and Occupational Pensions Authority), amending Decision No 716/2009/EC and repealing Commission Decision 2009/79/EC (OJ L 331, 15.12.2010, p. 48).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03F03" w14:textId="77777777" w:rsidR="00F1538F" w:rsidRDefault="00F1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EA2F5" w14:textId="77777777" w:rsidR="00F1538F" w:rsidRDefault="00F15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6D0C3D" w14:textId="77777777" w:rsidR="00F1538F" w:rsidRDefault="00F153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E10C1"/>
    <w:multiLevelType w:val="hybridMultilevel"/>
    <w:tmpl w:val="2086320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606BA9"/>
    <w:multiLevelType w:val="hybridMultilevel"/>
    <w:tmpl w:val="3F9A5246"/>
    <w:lvl w:ilvl="0" w:tplc="9384ADA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8EC669F"/>
    <w:multiLevelType w:val="hybridMultilevel"/>
    <w:tmpl w:val="71B6D7C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91337B"/>
    <w:multiLevelType w:val="hybridMultilevel"/>
    <w:tmpl w:val="3F9A5246"/>
    <w:lvl w:ilvl="0" w:tplc="9384ADA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D04530C"/>
    <w:multiLevelType w:val="hybridMultilevel"/>
    <w:tmpl w:val="6ACCB3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E36CE4"/>
    <w:multiLevelType w:val="hybridMultilevel"/>
    <w:tmpl w:val="2772BF88"/>
    <w:lvl w:ilvl="0" w:tplc="3A682B08">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61463AE"/>
    <w:multiLevelType w:val="hybridMultilevel"/>
    <w:tmpl w:val="4282F5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E4D46D2"/>
    <w:multiLevelType w:val="hybridMultilevel"/>
    <w:tmpl w:val="144CFE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FD05B5D"/>
    <w:multiLevelType w:val="hybridMultilevel"/>
    <w:tmpl w:val="3CBEA208"/>
    <w:lvl w:ilvl="0" w:tplc="43E2836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48B45D1"/>
    <w:multiLevelType w:val="hybridMultilevel"/>
    <w:tmpl w:val="3F9A5246"/>
    <w:lvl w:ilvl="0" w:tplc="9384ADA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78646529"/>
    <w:multiLevelType w:val="hybridMultilevel"/>
    <w:tmpl w:val="28EEA5C4"/>
    <w:lvl w:ilvl="0" w:tplc="08090017">
      <w:start w:val="1"/>
      <w:numFmt w:val="lowerLetter"/>
      <w:lvlText w:val="%1)"/>
      <w:lvlJc w:val="left"/>
      <w:pPr>
        <w:ind w:left="720" w:hanging="360"/>
      </w:pPr>
      <w:rPr>
        <w:rFonts w:hint="default"/>
      </w:rPr>
    </w:lvl>
    <w:lvl w:ilvl="1" w:tplc="C4B6375C">
      <w:start w:val="1"/>
      <w:numFmt w:val="lowerRoman"/>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FCD2EFA"/>
    <w:multiLevelType w:val="hybridMultilevel"/>
    <w:tmpl w:val="ACA6CC30"/>
    <w:lvl w:ilvl="0" w:tplc="08090017">
      <w:start w:val="1"/>
      <w:numFmt w:val="lowerLetter"/>
      <w:lvlText w:val="%1)"/>
      <w:lvlJc w:val="left"/>
      <w:pPr>
        <w:ind w:left="720" w:hanging="360"/>
      </w:pPr>
      <w:rPr>
        <w:rFonts w:hint="default"/>
      </w:rPr>
    </w:lvl>
    <w:lvl w:ilvl="1" w:tplc="49E2C90C">
      <w:start w:val="7"/>
      <w:numFmt w:val="bullet"/>
      <w:lvlText w:val="-"/>
      <w:lvlJc w:val="left"/>
      <w:pPr>
        <w:ind w:left="1800" w:hanging="720"/>
      </w:pPr>
      <w:rPr>
        <w:rFonts w:ascii="Verdana" w:hAnsi="Verdana" w:cstheme="minorBidi" w:hint="default"/>
        <w:u w:color="FFFFFF" w:themeColor="background1"/>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5"/>
  </w:num>
  <w:num w:numId="5">
    <w:abstractNumId w:val="12"/>
  </w:num>
  <w:num w:numId="6">
    <w:abstractNumId w:val="3"/>
  </w:num>
  <w:num w:numId="7">
    <w:abstractNumId w:val="1"/>
  </w:num>
  <w:num w:numId="8">
    <w:abstractNumId w:val="2"/>
  </w:num>
  <w:num w:numId="9">
    <w:abstractNumId w:val="8"/>
  </w:num>
  <w:num w:numId="10">
    <w:abstractNumId w:val="7"/>
  </w:num>
  <w:num w:numId="11">
    <w:abstractNumId w:val="6"/>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removePersonalInformation/>
  <w:removeDateAndTime/>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fr-FR"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A8F"/>
    <w:rsid w:val="00005AC5"/>
    <w:rsid w:val="00011A80"/>
    <w:rsid w:val="000122A6"/>
    <w:rsid w:val="00013D89"/>
    <w:rsid w:val="00021AAB"/>
    <w:rsid w:val="000228F3"/>
    <w:rsid w:val="000246DA"/>
    <w:rsid w:val="0003073F"/>
    <w:rsid w:val="0003278E"/>
    <w:rsid w:val="000437AF"/>
    <w:rsid w:val="00051886"/>
    <w:rsid w:val="00065FF1"/>
    <w:rsid w:val="00073038"/>
    <w:rsid w:val="00073910"/>
    <w:rsid w:val="00075B03"/>
    <w:rsid w:val="000800E7"/>
    <w:rsid w:val="000802F6"/>
    <w:rsid w:val="00081BA6"/>
    <w:rsid w:val="000845C0"/>
    <w:rsid w:val="00097ABB"/>
    <w:rsid w:val="000A1A82"/>
    <w:rsid w:val="000A3A8F"/>
    <w:rsid w:val="000A7951"/>
    <w:rsid w:val="000B2FE3"/>
    <w:rsid w:val="000C1486"/>
    <w:rsid w:val="000C5681"/>
    <w:rsid w:val="000D57E2"/>
    <w:rsid w:val="000D703C"/>
    <w:rsid w:val="000E3ABA"/>
    <w:rsid w:val="000F09F2"/>
    <w:rsid w:val="00100B68"/>
    <w:rsid w:val="00100F4E"/>
    <w:rsid w:val="00106464"/>
    <w:rsid w:val="00116415"/>
    <w:rsid w:val="00120E9B"/>
    <w:rsid w:val="00120F72"/>
    <w:rsid w:val="001211A8"/>
    <w:rsid w:val="00123EF8"/>
    <w:rsid w:val="001441E4"/>
    <w:rsid w:val="001454FA"/>
    <w:rsid w:val="0016777E"/>
    <w:rsid w:val="00167EE7"/>
    <w:rsid w:val="00172BDE"/>
    <w:rsid w:val="00173FE6"/>
    <w:rsid w:val="00181DE1"/>
    <w:rsid w:val="001857C7"/>
    <w:rsid w:val="00194F01"/>
    <w:rsid w:val="001A10FB"/>
    <w:rsid w:val="001A454B"/>
    <w:rsid w:val="001A66FA"/>
    <w:rsid w:val="001C4BDA"/>
    <w:rsid w:val="001C5F33"/>
    <w:rsid w:val="001C665D"/>
    <w:rsid w:val="001C7487"/>
    <w:rsid w:val="001D0449"/>
    <w:rsid w:val="001D0BDE"/>
    <w:rsid w:val="001D5E7B"/>
    <w:rsid w:val="001E5A99"/>
    <w:rsid w:val="001F77E9"/>
    <w:rsid w:val="0020067C"/>
    <w:rsid w:val="00211FD6"/>
    <w:rsid w:val="00213F72"/>
    <w:rsid w:val="002151CF"/>
    <w:rsid w:val="002167AD"/>
    <w:rsid w:val="00223777"/>
    <w:rsid w:val="00223C43"/>
    <w:rsid w:val="00234E18"/>
    <w:rsid w:val="00240454"/>
    <w:rsid w:val="00245A2E"/>
    <w:rsid w:val="002500A7"/>
    <w:rsid w:val="002549B1"/>
    <w:rsid w:val="0027360B"/>
    <w:rsid w:val="002830A4"/>
    <w:rsid w:val="0029022B"/>
    <w:rsid w:val="00294261"/>
    <w:rsid w:val="002956A8"/>
    <w:rsid w:val="002977F2"/>
    <w:rsid w:val="002A23E6"/>
    <w:rsid w:val="002A3DBD"/>
    <w:rsid w:val="002B3B20"/>
    <w:rsid w:val="002C04E7"/>
    <w:rsid w:val="002C2EC1"/>
    <w:rsid w:val="002C3FFF"/>
    <w:rsid w:val="002D12DC"/>
    <w:rsid w:val="002D1BFC"/>
    <w:rsid w:val="002D32C6"/>
    <w:rsid w:val="002F1E13"/>
    <w:rsid w:val="0030657D"/>
    <w:rsid w:val="00316B70"/>
    <w:rsid w:val="003212A8"/>
    <w:rsid w:val="0032200B"/>
    <w:rsid w:val="00325775"/>
    <w:rsid w:val="00333CDC"/>
    <w:rsid w:val="0034031D"/>
    <w:rsid w:val="00353C9C"/>
    <w:rsid w:val="00365C77"/>
    <w:rsid w:val="00384045"/>
    <w:rsid w:val="003840E6"/>
    <w:rsid w:val="003B347D"/>
    <w:rsid w:val="003B79A6"/>
    <w:rsid w:val="003C2583"/>
    <w:rsid w:val="003D3966"/>
    <w:rsid w:val="003D46AB"/>
    <w:rsid w:val="003D5D74"/>
    <w:rsid w:val="003E4FA0"/>
    <w:rsid w:val="003F6FFF"/>
    <w:rsid w:val="00404229"/>
    <w:rsid w:val="00412DDF"/>
    <w:rsid w:val="00414C36"/>
    <w:rsid w:val="0041791D"/>
    <w:rsid w:val="00437347"/>
    <w:rsid w:val="00443C70"/>
    <w:rsid w:val="0044535B"/>
    <w:rsid w:val="00451635"/>
    <w:rsid w:val="00452EFD"/>
    <w:rsid w:val="00453ECA"/>
    <w:rsid w:val="004542BF"/>
    <w:rsid w:val="004643AC"/>
    <w:rsid w:val="00464B79"/>
    <w:rsid w:val="0047043D"/>
    <w:rsid w:val="00470BE4"/>
    <w:rsid w:val="00477A0C"/>
    <w:rsid w:val="00477E12"/>
    <w:rsid w:val="004805FD"/>
    <w:rsid w:val="004853C7"/>
    <w:rsid w:val="004907B1"/>
    <w:rsid w:val="004963B8"/>
    <w:rsid w:val="004972E3"/>
    <w:rsid w:val="004A10A5"/>
    <w:rsid w:val="004A46BE"/>
    <w:rsid w:val="004B10ED"/>
    <w:rsid w:val="004B6C10"/>
    <w:rsid w:val="004B7086"/>
    <w:rsid w:val="004C799C"/>
    <w:rsid w:val="004D0626"/>
    <w:rsid w:val="004E4901"/>
    <w:rsid w:val="004E7468"/>
    <w:rsid w:val="004F0E3F"/>
    <w:rsid w:val="004F4752"/>
    <w:rsid w:val="004F7BED"/>
    <w:rsid w:val="0050197C"/>
    <w:rsid w:val="00512A6D"/>
    <w:rsid w:val="00522703"/>
    <w:rsid w:val="00526988"/>
    <w:rsid w:val="0053489F"/>
    <w:rsid w:val="00544A56"/>
    <w:rsid w:val="005521A6"/>
    <w:rsid w:val="00553D84"/>
    <w:rsid w:val="005665D0"/>
    <w:rsid w:val="00567AD2"/>
    <w:rsid w:val="00570213"/>
    <w:rsid w:val="00571692"/>
    <w:rsid w:val="00572AC0"/>
    <w:rsid w:val="00573975"/>
    <w:rsid w:val="0058423D"/>
    <w:rsid w:val="00594703"/>
    <w:rsid w:val="005A17F8"/>
    <w:rsid w:val="005B0019"/>
    <w:rsid w:val="005C0A5F"/>
    <w:rsid w:val="005C3EDF"/>
    <w:rsid w:val="005D5A1D"/>
    <w:rsid w:val="005E2590"/>
    <w:rsid w:val="005E5601"/>
    <w:rsid w:val="005E56E8"/>
    <w:rsid w:val="00600002"/>
    <w:rsid w:val="00606F8B"/>
    <w:rsid w:val="006070AC"/>
    <w:rsid w:val="00607E17"/>
    <w:rsid w:val="0063000C"/>
    <w:rsid w:val="00667EDB"/>
    <w:rsid w:val="00677328"/>
    <w:rsid w:val="00692601"/>
    <w:rsid w:val="00696BD4"/>
    <w:rsid w:val="00697914"/>
    <w:rsid w:val="006A1050"/>
    <w:rsid w:val="006A79A5"/>
    <w:rsid w:val="006A7A60"/>
    <w:rsid w:val="006B0822"/>
    <w:rsid w:val="006B7DBA"/>
    <w:rsid w:val="006C43E7"/>
    <w:rsid w:val="006D4592"/>
    <w:rsid w:val="006D668D"/>
    <w:rsid w:val="006E2E86"/>
    <w:rsid w:val="006E389D"/>
    <w:rsid w:val="006E4265"/>
    <w:rsid w:val="00706002"/>
    <w:rsid w:val="00707411"/>
    <w:rsid w:val="00716021"/>
    <w:rsid w:val="0072070A"/>
    <w:rsid w:val="00731AFB"/>
    <w:rsid w:val="00732E04"/>
    <w:rsid w:val="007402D0"/>
    <w:rsid w:val="00745DF6"/>
    <w:rsid w:val="0074694C"/>
    <w:rsid w:val="00750074"/>
    <w:rsid w:val="00752341"/>
    <w:rsid w:val="007545D5"/>
    <w:rsid w:val="007568A9"/>
    <w:rsid w:val="00762B52"/>
    <w:rsid w:val="00763AB8"/>
    <w:rsid w:val="0078154C"/>
    <w:rsid w:val="007817AA"/>
    <w:rsid w:val="00787D40"/>
    <w:rsid w:val="0079613C"/>
    <w:rsid w:val="007A5CDB"/>
    <w:rsid w:val="007A5F08"/>
    <w:rsid w:val="007B7D53"/>
    <w:rsid w:val="007C03DB"/>
    <w:rsid w:val="007C2613"/>
    <w:rsid w:val="007D1166"/>
    <w:rsid w:val="007D3738"/>
    <w:rsid w:val="007E1470"/>
    <w:rsid w:val="007E2BEC"/>
    <w:rsid w:val="007E4684"/>
    <w:rsid w:val="007F1920"/>
    <w:rsid w:val="007F2CD5"/>
    <w:rsid w:val="007F5625"/>
    <w:rsid w:val="007F7F6A"/>
    <w:rsid w:val="008004A3"/>
    <w:rsid w:val="00827A07"/>
    <w:rsid w:val="00834ABC"/>
    <w:rsid w:val="00834BD4"/>
    <w:rsid w:val="008448A3"/>
    <w:rsid w:val="00853267"/>
    <w:rsid w:val="00853622"/>
    <w:rsid w:val="0086025A"/>
    <w:rsid w:val="00860C36"/>
    <w:rsid w:val="008637E4"/>
    <w:rsid w:val="0089181F"/>
    <w:rsid w:val="00891D90"/>
    <w:rsid w:val="008A49CC"/>
    <w:rsid w:val="008B6363"/>
    <w:rsid w:val="008C3097"/>
    <w:rsid w:val="008C5471"/>
    <w:rsid w:val="008D4A67"/>
    <w:rsid w:val="008E25B1"/>
    <w:rsid w:val="008E6CBD"/>
    <w:rsid w:val="008F6843"/>
    <w:rsid w:val="0090020D"/>
    <w:rsid w:val="00935DC6"/>
    <w:rsid w:val="00946DB8"/>
    <w:rsid w:val="0095072A"/>
    <w:rsid w:val="00950D9F"/>
    <w:rsid w:val="00964D8D"/>
    <w:rsid w:val="00965F5F"/>
    <w:rsid w:val="00970304"/>
    <w:rsid w:val="00970C5B"/>
    <w:rsid w:val="00976712"/>
    <w:rsid w:val="00977E30"/>
    <w:rsid w:val="00984679"/>
    <w:rsid w:val="00987394"/>
    <w:rsid w:val="00992897"/>
    <w:rsid w:val="009B62D6"/>
    <w:rsid w:val="009B7350"/>
    <w:rsid w:val="009D0D05"/>
    <w:rsid w:val="009E1444"/>
    <w:rsid w:val="009E3071"/>
    <w:rsid w:val="009E7729"/>
    <w:rsid w:val="009F4A1E"/>
    <w:rsid w:val="00A01815"/>
    <w:rsid w:val="00A13CC0"/>
    <w:rsid w:val="00A20AC8"/>
    <w:rsid w:val="00A212AA"/>
    <w:rsid w:val="00A27C61"/>
    <w:rsid w:val="00A32A5B"/>
    <w:rsid w:val="00A35EB1"/>
    <w:rsid w:val="00A46B5F"/>
    <w:rsid w:val="00A472AC"/>
    <w:rsid w:val="00A50612"/>
    <w:rsid w:val="00A61689"/>
    <w:rsid w:val="00A65F00"/>
    <w:rsid w:val="00A72FEF"/>
    <w:rsid w:val="00A74DA1"/>
    <w:rsid w:val="00A8361C"/>
    <w:rsid w:val="00A918BA"/>
    <w:rsid w:val="00A93679"/>
    <w:rsid w:val="00AB04FD"/>
    <w:rsid w:val="00AB7EA7"/>
    <w:rsid w:val="00AE462D"/>
    <w:rsid w:val="00AE5D55"/>
    <w:rsid w:val="00AE6527"/>
    <w:rsid w:val="00AF1426"/>
    <w:rsid w:val="00AF31A9"/>
    <w:rsid w:val="00B06B90"/>
    <w:rsid w:val="00B16E04"/>
    <w:rsid w:val="00B17D54"/>
    <w:rsid w:val="00B20A42"/>
    <w:rsid w:val="00B20E35"/>
    <w:rsid w:val="00B339DB"/>
    <w:rsid w:val="00B34668"/>
    <w:rsid w:val="00B34AD7"/>
    <w:rsid w:val="00B364A7"/>
    <w:rsid w:val="00B44087"/>
    <w:rsid w:val="00B52FF6"/>
    <w:rsid w:val="00B64E59"/>
    <w:rsid w:val="00B65C95"/>
    <w:rsid w:val="00B7344B"/>
    <w:rsid w:val="00B75CD3"/>
    <w:rsid w:val="00B7743B"/>
    <w:rsid w:val="00B8771D"/>
    <w:rsid w:val="00B90292"/>
    <w:rsid w:val="00BB0AEE"/>
    <w:rsid w:val="00BB560C"/>
    <w:rsid w:val="00BC3CA4"/>
    <w:rsid w:val="00BD5912"/>
    <w:rsid w:val="00BD7736"/>
    <w:rsid w:val="00BE31CD"/>
    <w:rsid w:val="00BF0434"/>
    <w:rsid w:val="00BF0496"/>
    <w:rsid w:val="00C04DF8"/>
    <w:rsid w:val="00C10CCD"/>
    <w:rsid w:val="00C14074"/>
    <w:rsid w:val="00C150E3"/>
    <w:rsid w:val="00C30DCB"/>
    <w:rsid w:val="00C4577F"/>
    <w:rsid w:val="00C74C96"/>
    <w:rsid w:val="00C764F9"/>
    <w:rsid w:val="00C80646"/>
    <w:rsid w:val="00C80FCE"/>
    <w:rsid w:val="00C8513F"/>
    <w:rsid w:val="00C90E93"/>
    <w:rsid w:val="00C969C5"/>
    <w:rsid w:val="00CA0148"/>
    <w:rsid w:val="00CA035C"/>
    <w:rsid w:val="00CA32E7"/>
    <w:rsid w:val="00CA3F5D"/>
    <w:rsid w:val="00CA5E98"/>
    <w:rsid w:val="00CA698C"/>
    <w:rsid w:val="00CD065A"/>
    <w:rsid w:val="00CE04A7"/>
    <w:rsid w:val="00CE37CB"/>
    <w:rsid w:val="00CF1B64"/>
    <w:rsid w:val="00CF228A"/>
    <w:rsid w:val="00CF2F4B"/>
    <w:rsid w:val="00CF5884"/>
    <w:rsid w:val="00CF75B8"/>
    <w:rsid w:val="00D05099"/>
    <w:rsid w:val="00D10BCB"/>
    <w:rsid w:val="00D41495"/>
    <w:rsid w:val="00D51F06"/>
    <w:rsid w:val="00D54E06"/>
    <w:rsid w:val="00D5769B"/>
    <w:rsid w:val="00D57BD7"/>
    <w:rsid w:val="00D62B02"/>
    <w:rsid w:val="00D65EBA"/>
    <w:rsid w:val="00D661CC"/>
    <w:rsid w:val="00D74F27"/>
    <w:rsid w:val="00D82666"/>
    <w:rsid w:val="00D86161"/>
    <w:rsid w:val="00D92DC2"/>
    <w:rsid w:val="00DA2770"/>
    <w:rsid w:val="00DA6960"/>
    <w:rsid w:val="00DB3721"/>
    <w:rsid w:val="00DC66A0"/>
    <w:rsid w:val="00DD47D1"/>
    <w:rsid w:val="00DD5073"/>
    <w:rsid w:val="00DE0BDE"/>
    <w:rsid w:val="00DE1578"/>
    <w:rsid w:val="00DE3FC0"/>
    <w:rsid w:val="00DE52E0"/>
    <w:rsid w:val="00DE7970"/>
    <w:rsid w:val="00DF5342"/>
    <w:rsid w:val="00E01A37"/>
    <w:rsid w:val="00E13B22"/>
    <w:rsid w:val="00E143C3"/>
    <w:rsid w:val="00E220EE"/>
    <w:rsid w:val="00E2725B"/>
    <w:rsid w:val="00E27E4E"/>
    <w:rsid w:val="00E32504"/>
    <w:rsid w:val="00E46B87"/>
    <w:rsid w:val="00E532FB"/>
    <w:rsid w:val="00E564DB"/>
    <w:rsid w:val="00E61A82"/>
    <w:rsid w:val="00E62208"/>
    <w:rsid w:val="00E70C65"/>
    <w:rsid w:val="00E822E2"/>
    <w:rsid w:val="00E82980"/>
    <w:rsid w:val="00E9218B"/>
    <w:rsid w:val="00E9385A"/>
    <w:rsid w:val="00E966E0"/>
    <w:rsid w:val="00EA0248"/>
    <w:rsid w:val="00EA13C4"/>
    <w:rsid w:val="00EA1CDC"/>
    <w:rsid w:val="00EA2781"/>
    <w:rsid w:val="00EB7308"/>
    <w:rsid w:val="00EC0E08"/>
    <w:rsid w:val="00EC4E67"/>
    <w:rsid w:val="00ED2F76"/>
    <w:rsid w:val="00ED601C"/>
    <w:rsid w:val="00ED6D72"/>
    <w:rsid w:val="00ED7455"/>
    <w:rsid w:val="00EF3D68"/>
    <w:rsid w:val="00F010AE"/>
    <w:rsid w:val="00F1538F"/>
    <w:rsid w:val="00F323E1"/>
    <w:rsid w:val="00F36BB0"/>
    <w:rsid w:val="00F40A4B"/>
    <w:rsid w:val="00F40B06"/>
    <w:rsid w:val="00F548C0"/>
    <w:rsid w:val="00F60BBF"/>
    <w:rsid w:val="00F6416F"/>
    <w:rsid w:val="00F87F86"/>
    <w:rsid w:val="00F90D8C"/>
    <w:rsid w:val="00F96FC7"/>
    <w:rsid w:val="00FA6383"/>
    <w:rsid w:val="00FA67BE"/>
    <w:rsid w:val="00FC040A"/>
    <w:rsid w:val="00FD2C12"/>
    <w:rsid w:val="00FD2CA1"/>
    <w:rsid w:val="00FD7C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4F8A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40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40E6"/>
    <w:rPr>
      <w:rFonts w:ascii="Segoe UI" w:hAnsi="Segoe UI" w:cs="Segoe UI"/>
      <w:sz w:val="18"/>
      <w:szCs w:val="18"/>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3840E6"/>
    <w:pPr>
      <w:ind w:left="720"/>
      <w:contextualSpacing/>
    </w:pPr>
  </w:style>
  <w:style w:type="paragraph" w:customStyle="1" w:styleId="Normal1">
    <w:name w:val="Normal1"/>
    <w:basedOn w:val="Normal"/>
    <w:rsid w:val="000A3A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unhideWhenUsed/>
    <w:rsid w:val="002830A4"/>
    <w:rPr>
      <w:sz w:val="16"/>
      <w:szCs w:val="16"/>
    </w:rPr>
  </w:style>
  <w:style w:type="paragraph" w:styleId="CommentText">
    <w:name w:val="annotation text"/>
    <w:basedOn w:val="Normal"/>
    <w:link w:val="CommentTextChar"/>
    <w:uiPriority w:val="99"/>
    <w:unhideWhenUsed/>
    <w:rsid w:val="002830A4"/>
    <w:pPr>
      <w:spacing w:line="240" w:lineRule="auto"/>
    </w:pPr>
    <w:rPr>
      <w:sz w:val="20"/>
      <w:szCs w:val="20"/>
    </w:rPr>
  </w:style>
  <w:style w:type="character" w:customStyle="1" w:styleId="CommentTextChar">
    <w:name w:val="Comment Text Char"/>
    <w:basedOn w:val="DefaultParagraphFont"/>
    <w:link w:val="CommentText"/>
    <w:uiPriority w:val="99"/>
    <w:rsid w:val="002830A4"/>
    <w:rPr>
      <w:sz w:val="20"/>
      <w:szCs w:val="20"/>
    </w:rPr>
  </w:style>
  <w:style w:type="paragraph" w:styleId="CommentSubject">
    <w:name w:val="annotation subject"/>
    <w:basedOn w:val="CommentText"/>
    <w:next w:val="CommentText"/>
    <w:link w:val="CommentSubjectChar"/>
    <w:uiPriority w:val="99"/>
    <w:semiHidden/>
    <w:unhideWhenUsed/>
    <w:rsid w:val="002830A4"/>
    <w:rPr>
      <w:b/>
      <w:bCs/>
    </w:rPr>
  </w:style>
  <w:style w:type="character" w:customStyle="1" w:styleId="CommentSubjectChar">
    <w:name w:val="Comment Subject Char"/>
    <w:basedOn w:val="CommentTextChar"/>
    <w:link w:val="CommentSubject"/>
    <w:uiPriority w:val="99"/>
    <w:semiHidden/>
    <w:rsid w:val="002830A4"/>
    <w:rPr>
      <w:b/>
      <w:bCs/>
      <w:sz w:val="20"/>
      <w:szCs w:val="20"/>
    </w:rPr>
  </w:style>
  <w:style w:type="paragraph" w:styleId="Revision">
    <w:name w:val="Revision"/>
    <w:hidden/>
    <w:uiPriority w:val="99"/>
    <w:semiHidden/>
    <w:rsid w:val="00C8513F"/>
    <w:pPr>
      <w:spacing w:after="0" w:line="240" w:lineRule="auto"/>
    </w:pPr>
  </w:style>
  <w:style w:type="paragraph" w:styleId="Footer">
    <w:name w:val="footer"/>
    <w:basedOn w:val="Normal"/>
    <w:link w:val="FooterChar"/>
    <w:uiPriority w:val="99"/>
    <w:unhideWhenUsed/>
    <w:rsid w:val="006A7A60"/>
    <w:pPr>
      <w:tabs>
        <w:tab w:val="center" w:pos="4535"/>
        <w:tab w:val="right" w:pos="9071"/>
        <w:tab w:val="right" w:pos="9921"/>
      </w:tabs>
      <w:spacing w:before="360" w:after="0" w:line="240" w:lineRule="auto"/>
      <w:ind w:left="-850" w:right="-850"/>
    </w:pPr>
    <w:rPr>
      <w:rFonts w:ascii="Times New Roman" w:hAnsi="Times New Roman" w:cs="Times New Roman"/>
      <w:sz w:val="24"/>
    </w:rPr>
  </w:style>
  <w:style w:type="character" w:customStyle="1" w:styleId="FooterChar">
    <w:name w:val="Footer Char"/>
    <w:basedOn w:val="DefaultParagraphFont"/>
    <w:link w:val="Footer"/>
    <w:uiPriority w:val="99"/>
    <w:rsid w:val="006A7A60"/>
    <w:rPr>
      <w:rFonts w:ascii="Times New Roman" w:hAnsi="Times New Roman" w:cs="Times New Roman"/>
      <w:sz w:val="24"/>
    </w:rPr>
  </w:style>
  <w:style w:type="paragraph" w:styleId="Header">
    <w:name w:val="header"/>
    <w:basedOn w:val="Normal"/>
    <w:link w:val="HeaderChar"/>
    <w:uiPriority w:val="99"/>
    <w:unhideWhenUsed/>
    <w:rsid w:val="006A7A6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7A60"/>
  </w:style>
  <w:style w:type="paragraph" w:customStyle="1" w:styleId="Point0">
    <w:name w:val="Point 0"/>
    <w:basedOn w:val="Normal"/>
    <w:uiPriority w:val="99"/>
    <w:rsid w:val="009E3071"/>
    <w:pPr>
      <w:autoSpaceDE w:val="0"/>
      <w:autoSpaceDN w:val="0"/>
      <w:spacing w:before="120" w:after="120" w:line="240" w:lineRule="auto"/>
      <w:ind w:left="851" w:hanging="851"/>
      <w:jc w:val="both"/>
    </w:pPr>
    <w:rPr>
      <w:rFonts w:ascii="Times New Roman" w:eastAsiaTheme="minorEastAsia" w:hAnsi="Times New Roman" w:cs="Times New Roman"/>
      <w:sz w:val="24"/>
      <w:szCs w:val="24"/>
      <w:lang w:val="fr-FR" w:eastAsia="en-GB"/>
    </w:rPr>
  </w:style>
  <w:style w:type="paragraph" w:customStyle="1" w:styleId="Point1">
    <w:name w:val="Point 1"/>
    <w:basedOn w:val="Normal"/>
    <w:uiPriority w:val="99"/>
    <w:rsid w:val="009E3071"/>
    <w:pPr>
      <w:autoSpaceDE w:val="0"/>
      <w:autoSpaceDN w:val="0"/>
      <w:spacing w:before="120" w:after="120" w:line="240" w:lineRule="auto"/>
      <w:ind w:left="1418" w:hanging="567"/>
      <w:jc w:val="both"/>
    </w:pPr>
    <w:rPr>
      <w:rFonts w:ascii="Times New Roman" w:eastAsiaTheme="minorEastAsia" w:hAnsi="Times New Roman" w:cs="Times New Roman"/>
      <w:sz w:val="24"/>
      <w:szCs w:val="24"/>
      <w:lang w:val="fr-FR" w:eastAsia="en-GB"/>
    </w:rPr>
  </w:style>
  <w:style w:type="paragraph" w:customStyle="1" w:styleId="Default">
    <w:name w:val="Default"/>
    <w:rsid w:val="00A93679"/>
    <w:pPr>
      <w:autoSpaceDE w:val="0"/>
      <w:autoSpaceDN w:val="0"/>
      <w:adjustRightInd w:val="0"/>
      <w:spacing w:after="0" w:line="240" w:lineRule="auto"/>
    </w:pPr>
    <w:rPr>
      <w:rFonts w:ascii="Verdana" w:hAnsi="Verdana" w:cs="Verdana"/>
      <w:color w:val="000000"/>
      <w:sz w:val="24"/>
      <w:szCs w:val="24"/>
    </w:rPr>
  </w:style>
  <w:style w:type="paragraph" w:styleId="FootnoteText">
    <w:name w:val="footnote text"/>
    <w:basedOn w:val="Normal"/>
    <w:link w:val="FootnoteTextChar"/>
    <w:uiPriority w:val="99"/>
    <w:semiHidden/>
    <w:unhideWhenUsed/>
    <w:rsid w:val="007402D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02D0"/>
    <w:rPr>
      <w:sz w:val="20"/>
      <w:szCs w:val="20"/>
    </w:rPr>
  </w:style>
  <w:style w:type="character" w:styleId="FootnoteReference">
    <w:name w:val="footnote reference"/>
    <w:basedOn w:val="DefaultParagraphFont"/>
    <w:uiPriority w:val="99"/>
    <w:semiHidden/>
    <w:unhideWhenUsed/>
    <w:rsid w:val="007402D0"/>
    <w:rPr>
      <w:vertAlign w:val="superscript"/>
    </w:rPr>
  </w:style>
  <w:style w:type="character" w:styleId="Hyperlink">
    <w:name w:val="Hyperlink"/>
    <w:basedOn w:val="DefaultParagraphFont"/>
    <w:uiPriority w:val="99"/>
    <w:unhideWhenUsed/>
    <w:rsid w:val="000802F6"/>
    <w:rPr>
      <w:color w:val="0563C1" w:themeColor="hyperlink"/>
      <w:u w:val="single"/>
    </w:rPr>
  </w:style>
  <w:style w:type="character" w:styleId="FollowedHyperlink">
    <w:name w:val="FollowedHyperlink"/>
    <w:basedOn w:val="DefaultParagraphFont"/>
    <w:uiPriority w:val="99"/>
    <w:semiHidden/>
    <w:unhideWhenUsed/>
    <w:rsid w:val="004B7086"/>
    <w:rPr>
      <w:color w:val="954F72" w:themeColor="followedHyperlink"/>
      <w:u w:val="single"/>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512A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14">
      <w:bodyDiv w:val="1"/>
      <w:marLeft w:val="0"/>
      <w:marRight w:val="0"/>
      <w:marTop w:val="0"/>
      <w:marBottom w:val="0"/>
      <w:divBdr>
        <w:top w:val="none" w:sz="0" w:space="0" w:color="auto"/>
        <w:left w:val="none" w:sz="0" w:space="0" w:color="auto"/>
        <w:bottom w:val="none" w:sz="0" w:space="0" w:color="auto"/>
        <w:right w:val="none" w:sz="0" w:space="0" w:color="auto"/>
      </w:divBdr>
      <w:divsChild>
        <w:div w:id="869339638">
          <w:marLeft w:val="810"/>
          <w:marRight w:val="810"/>
          <w:marTop w:val="360"/>
          <w:marBottom w:val="0"/>
          <w:divBdr>
            <w:top w:val="none" w:sz="0" w:space="0" w:color="auto"/>
            <w:left w:val="none" w:sz="0" w:space="0" w:color="auto"/>
            <w:bottom w:val="none" w:sz="0" w:space="0" w:color="auto"/>
            <w:right w:val="none" w:sz="0" w:space="0" w:color="auto"/>
          </w:divBdr>
          <w:divsChild>
            <w:div w:id="1149174902">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 w:id="864174383">
      <w:bodyDiv w:val="1"/>
      <w:marLeft w:val="0"/>
      <w:marRight w:val="0"/>
      <w:marTop w:val="0"/>
      <w:marBottom w:val="0"/>
      <w:divBdr>
        <w:top w:val="none" w:sz="0" w:space="0" w:color="auto"/>
        <w:left w:val="none" w:sz="0" w:space="0" w:color="auto"/>
        <w:bottom w:val="none" w:sz="0" w:space="0" w:color="auto"/>
        <w:right w:val="none" w:sz="0" w:space="0" w:color="auto"/>
      </w:divBdr>
    </w:div>
    <w:div w:id="1250192267">
      <w:bodyDiv w:val="1"/>
      <w:marLeft w:val="0"/>
      <w:marRight w:val="0"/>
      <w:marTop w:val="0"/>
      <w:marBottom w:val="0"/>
      <w:divBdr>
        <w:top w:val="none" w:sz="0" w:space="0" w:color="auto"/>
        <w:left w:val="none" w:sz="0" w:space="0" w:color="auto"/>
        <w:bottom w:val="none" w:sz="0" w:space="0" w:color="auto"/>
        <w:right w:val="none" w:sz="0" w:space="0" w:color="auto"/>
      </w:divBdr>
    </w:div>
    <w:div w:id="140707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HTML/?uri=CELEX:32015R2450&amp;from=EN"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ur-lex.europa.eu/legal-content/EN/TXT/HTML/?uri=CELEX:32015R2450&amp;from=EN" TargetMode="External"/><Relationship Id="rId17" Type="http://schemas.openxmlformats.org/officeDocument/2006/relationships/footer" Target="footer1.xm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HTML/?uri=CELEX:32015R2450&amp;from=E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394BB7-CF50-4C1F-B817-3A87DC354064}">
  <ds:schemaRefs>
    <ds:schemaRef ds:uri="http://schemas.microsoft.com/sharepoint/v3/contenttype/forms"/>
  </ds:schemaRefs>
</ds:datastoreItem>
</file>

<file path=customXml/itemProps2.xml><?xml version="1.0" encoding="utf-8"?>
<ds:datastoreItem xmlns:ds="http://schemas.openxmlformats.org/officeDocument/2006/customXml" ds:itemID="{8C7BBA89-C993-44B7-BA01-247193576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7a6a8e-f27f-42c4-a0ac-b9eae2f9d6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1F5AF9-8AF5-48A3-A5DA-D8FCAAE9E1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BA75EFD-854F-487C-876C-0466532F9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13878</Words>
  <Characters>79108</Characters>
  <Application>Microsoft Office Word</Application>
  <DocSecurity>0</DocSecurity>
  <Lines>659</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2022-04-01T10:15:00Z</dcterms:created>
  <dcterms:modified xsi:type="dcterms:W3CDTF">2022-04-01T10:18:00Z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